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Ogłoszenie nr 545416-N-2019 z dnia 2019-05-14 r. </w:t>
      </w:r>
    </w:p>
    <w:p w:rsidR="00F136EB" w:rsidRPr="00F136EB" w:rsidRDefault="00F136EB" w:rsidP="00F136EB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>Zespół Opieki Zdrowotnej w Lidzbarku Warmińskim: Dostawa sprzętu medycznego jednorazowego i wielorazowego użytku do apteki szpitalnej Zespołu Opieki Zdrowotnej w Lidzbarku Warmińskim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Zamieszczanie obowiązkowe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Ogłoszenie dotyczy: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Zamówienia publicznego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u w:val="single"/>
          <w:lang w:eastAsia="pl-PL"/>
        </w:rPr>
        <w:t>SEKCJA I: ZAMAWIAJĄCY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OBOWIĄZEK INFORMACYJNY DOTYCZĄCY PRZETWARZANIA DANYCH OSOBOWYCH W CELU ZWIĄZANYM Z POSTĘPOWANIEM O UDZIELENIE ZAMÓWIENIA PUBLICZNEGO Zgodnie z art. 13 ust. 1 i 2 Rozporządzenia Parlamentu Europejskiego i Rady (UE) 2016/679 z dnia 27 kwietnia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2016r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. w sprawie ochrony osób fizycznych, w związku z przetwarzaniem danych osobowych </w:t>
      </w: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t xml:space="preserve">i w sprawie swobodnego przepływu takich danych oraz uchylenia dyrektywy 95/46/WE, zwany dalej RODO informujemy, że: 1. Administratorem, czyli podmiotem decydującym o tym, jak będą wykorzystywane Pani/Pana dane osobowe, jest: Zespół Opieki Zdrowotnej w Lidzbarku Warmińskim; ◦ Dane kontaktowe: tel. 89 767 2561; e-mail: sekretariat@zozlw.pl; skrzynka podawcza: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ZOZLidzbarkWarm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; adres pocztowy: ul. Kardynała Stefana Wyszyńskiego 37, 11-100 Lidzbark Warmiński. 2. Żeby uzyskać więcej informacji o przetwarzaniu Pani/Pana danych osobowych należy przyjść lub napisać do wyznaczonego przez nas inspektora ochrony danych. ◦ Dane kontaktowe tel. 89 7672271 wew. 277, e-mail:oc@zozlw.pl, adres pocztowy: Inspektor Ochrony Danych, Zespół Opieki Zdrowotnej w Lidzbarku Warmińskim, ul. Kardynała Stefana Wyszyńskiego 37, 11-100 Lidzbark Warmiński. 3. Pani/Pana dane osobowe przetwarzane będą na podstawie art. 6 ust. 1 lit. c RODO w celu związanym z postępowaniem o udzielenie zamówienia publicznego na dostawę sprzętu medycznego jednorazowego i wielorazowego użytku do apteki szpitalnej Zespołu Opieki Zdrowotnej w Lidzbarku Warmińskim prowadzonym w trybie przetargu nieograniczonego. 4. Pani/Pana dane osobowe mogą być powierzone do przetwarzania podmiotom świadczącym na rzecz Zespołu Opieki Zdrowotnej w Lidzbarku Warmińskim usługi serwisowe sprzętu i oprogramowania informatycznego, na podstawie zawartych z tymi podmiotami umów powierzenia przetwarzania danych osobowych. 5. Odbiorcami Pani/Pana danych osobowych będą osoby lub podmioty, którym udostępniona zostanie dokumentacja postępowania w oparciu o art. 8 oraz art. 96 ust. 3 ustawy z dnia 29 stycznia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2004r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. - Prawo zamówień publicznych (Dz.U. z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2018r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., poz. 1986 z późn. zm.), dalej „ustawa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”. 6. Zamawiający udostępni Pani/ Pana dane osobowe, o których mowa w art. 10 RODO w celu umożliwienia korzystania ze środków ochrony prawnej, o której mowa w dziale VI ustawy PZP, do upływu terminu do ich wniesienia. 7. Pani/Pana dane osobowe nie będą przekazywane poza państwa Unii Europejskiej. 8. Pani/Pana dane osobowe będą przechowywane, zgodnie z art 97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ust.1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umowy. 9. Posiada Pani/Pan: ◦ na podstawie art. 15 RODO prawo dostępu do treści swoich danych osobowych; W przypadku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◦ na podstawie art. 16 RODO prawo ich sprostowania; ◦ na podstawie art 18 RODO prawo żądania od administratora ograniczenia przetwarzania danych osobowych z zastrzeżeniem przypadków, o których mowa w art. 18 ust. 2 RODO; Wystąpienie z żądaniem, o którym mowa w art. 18 ust. 1 RODO, nie ogranicza przetwarzania danych osobowych do czasu zakończenia postępowania o udzielenie zamówienia publicznego lub konkursu. ◦ prawo wniesienia skargi do Urzędu Ochrony Danych Osobowych gdy uzna Pani/Pan, iż przetwarzanie danych osobowych Pani/Pana dotyczących narusza przepisy RODO. 10. Podanie przez Panią/Pana danych osobowych jest wymogiem ustawowym określonym w przepisach ustawy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. 11. W odniesieniu do Pani/Pana danych osobowych decyzje nie będą podejmowane w sposób zautomatyzowany, stosownie do art. 22 RODO. 12. Nie przysługuje Pani/Panu: ◦ w związku z art. 17 ust. 3 lit. b, d lub e RODO prawo do usunięcia danych osobowych; ◦ prawo do przenoszenia danych osobowych, o którym mowa w art. 20 RODO; ◦ na podstawie art. 21 RODO prawo sprzeciwu, wobec przetwarzania danych osobowych, gdyż podstawą prawną przetwarzania Pani/Pana danych osobowych jest art. 6 ust. 1 lit. c RODO.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30845900000000, ul.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ul.Kard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. St. Wyszyńskiego  37 , 11-100  Lidzbark Warmiński, woj. warmińsko-mazurskie, państwo Polska, tel. 897 672 561, e-mail zamowienia.publiczne@zozlw.pl, faks 897 672 966.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 (URL): http://www.zozlw.pl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Adres profilu nabywcy: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Inny (proszę określić):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I.3</w:t>
      </w:r>
      <w:proofErr w:type="spellEnd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) WSPÓLNE UDZIELANIE ZAMÓWIENIA </w:t>
      </w:r>
      <w:r w:rsidRPr="00F136E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I.4</w:t>
      </w:r>
      <w:proofErr w:type="spellEnd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Elektronicznie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adres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Inny sposób: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Tak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Inny sposób: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t xml:space="preserve">pocztą, kurierem, osobiście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Adres: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Zespół Opieki Zdrowotnej, ul. Kard. St. Wyszyńskiego 37, 11-100 Lidzbark Warmiński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Dostawa sprzętu medycznego jednorazowego i wielorazowego użytku do apteki szpitalnej Zespołu Opieki Zdrowotnej w Lidzbarku Warmińskim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ZOZ.V-270-31/ZP/19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136EB" w:rsidRPr="00F136EB" w:rsidRDefault="00F136EB" w:rsidP="00F136EB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Dostawy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Przedmiotem zamówienia jest dostawa sprzętu medycznego jednorazowego i wielorazowego użytku do apteki szpitalnej Zespołu Opieki Zdrowotnej w Lidzbarku Warmińskim. Szczegółowy opis przedmiotu zamówienia, asortyment i ilości zawiera Formularz cenowy stanowiący zał. Nr 1 do SIWZ.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33140000-3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Dodatkowe kody CPV: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33141111-1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33141200-2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33141310-6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33141320-9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33141600-6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33141900-9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33162000-3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33194000-6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33141110-4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33141110-4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33141420-0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33141100-1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miesiącach:   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dniach: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lub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t> 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2020-06-30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2020-06-30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</w:t>
      </w: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t xml:space="preserve">spełnienie Wykonawca zobowiązany jest wykazać w sposób szczególny.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Tak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aktualny odpis z właściwego rejestru lub centralnej ewidencji i informacji o działalności gospodarczej jeżeli odrębne przepisy wymagają wpisu do rejestru, w celu wykazania braku podstaw do wykluczenia w oparciu o art. 24 ust. 5 pkt 1) ustawy PZP, wystawiony nie wcześniej niż 6 miesięcy przed upływem terminu składania odpisu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1) karty katalogowe producenta/ inne materiały informacyjne producenta (w języku polskim) zawierające opis oferowanych wyrobów, zgodny z opisem przedmiotu zamówienia, z zaznaczeniem, której Części i pozycji dotyczy. Dotyczy wszystkich Części i pozycji. 2) </w:t>
      </w: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t>dokument zawierający wyniki badań potwierdzające obniżoną przenikalność dla podtlenku azotu. Dotyczy Części 8, poz. 2. 3) karty danych technicznych oferowanych wyrobów. Dotyczy Części zamówienia nr: 15, 16 (wszystkie pozycje), 17 (wszystkie pozycje), 19 (dotyczy pozycji 1 i 2), 31 (wszystkie pozycje), 37 (poz. 1,2,3,4), 38 (dot. pozycji 1), 39, 40 (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dot.poz.1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; wyrobów z gazy oznaczonych symbolem „*”- tj. poz. 5,7,8,9,33-41; poz. 42;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poz.6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dot. wyrobów z włókniny), 45 (dot. poz. 2- 4) 4) certyfikat/inny dokument potwierdzający spełnienie przez oferowany wyrób normy PN-EN 868 cz. 3 i 5 i PN - EN ISO 11 607 wystawiony przez producenta. Dotyczy Części zamówienia nr 19, poz. 1. 5) karta danych technicznych potwierdzająca wytrzymałość oferowanego wyrobu na rozciąganie na sucho CD-min. 3,4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kN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/m, min. MD-6,4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kN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/m, wytrzymałość na rozciąganie na mokro CD-min. 1,1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kN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/m, MD-min. 2,1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kN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/m, wytrzymałość na przedarcie w obu kierunkach minimalnie 600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mN.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Dotyczy Części zamówienia nr 19 poz. 1. 6) dokument wydany przez niezależne laboratorium potwierdzający szczelność mikrobiologiczną papieru, zgodną z normą DIN 58953-6. Dotyczy Części zamówienia nr 19 poz. 2. 7) certyfikat/inny dokument potwierdzający spełnienie przez oferowany wyrób normy PN EN ISO 11607-1 oraz PN EN 802-2 wystawiony przez producenta. Dotyczy Części zamówienia nr 19 poz. 2. 8) karta danych technicznych potwierdzająca, że oferowany wyrób jest wykonany z papieru krepowego miękkiego (białego) z 100% włókna celulozowego oraz posiada wytrzymałość na rozciąganie: na sucho nie mniej niż 1,8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kN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/m (w kierunku walcowania) i nie mniej niż 1,3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kN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/m w kierunku poprzecznym; na mokro odpowiednio min. 0,7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kN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/m i min.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0.4kN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/m. Dotyczy Części zamówienia nr 19 poz. 2. 9) certyfikat/inny dokument wystawiony przez producenta o spełnieniu normy ISO 11138 przez oferowany wyrób. Dotyczy Części zamówienia nr 20 poz. 1 10) certyfikat/inny dokument wystawiony przez producenta o spełnieniu normy ISO 11140 przez oferowany wyrób. Dotyczy Części zamówienia nr 20 poz. 2,4,6,8,9. 11) certyfikat/inny dokument wystawiony przez producenta potwierdzający zgodność substancji testowej w oferowanym wyrobie z ISO 15883. Dotyczy Części zamówienia nr 20 poz. 10 12) certyfikat/inny dokument wystawiony przez producenta o spełnieniu normy ISO 22716:2007 przez oferowany wyrób. Dotyczy Części zamówienia nr 34 13) dokument potwierdzający przeprowadzenie badań czystości mikrobiologicznej, nie starszych niż z 2013 r., na obecność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Pseudomonas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aeruginosa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, Candida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albicans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oraz Escherichia coli. Dotyczy Części zamówienia nr 34. 14) certyfikat/inny dokument potwierdzający spełnienie przez oferowane wyroby normy EN-13795 wystawiony przez producenta. Dotyczy Części 37. 15) certyfikat/inny dokument potwierdzający spełnienie przez oferowane wyroby normy PN-EN-455 wystawiony przez producenta. Dotyczy Części 38 poz. 1. 16) certyfikat/inny dokument potwierdzający spełnienie przez oferowane wyroby normy PN-EN 455-1,-2,-3,-4; EN 556; EN 420; EN 374; EN 388; ASTM F 1670, ASTM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F1671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. Dotyczy Części 39. 17) deklaracje zgodności dla oferowanych wyrobów medycznych oraz zgłoszenia/wpisy do Rejestru Wyrobów Medycznych i Produktów Biobójczych dla wyrobów, które tego wymagają zgodnie z Ustawą o wyrobach medycznych. Dotyczy Części zamówienia nr 40 (wyrobów z gazy oznaczonych symbolem „*”-tj. poz. 5,7,8,9, 33 -41) 18) próbki oferowanych wyrobów zgodne z wymaganiami Zamawiającego, dla pozycji określonych w Częściach: 1, 2, 3, 4, 6,7, 8, 9, 11, 13, 14, 18, 19, 25, 28, 29, 32, 33, 35, 37, 38, 39, 41, 42, 43, 44 wraz z zaznaczeniem na opakowaniu nazwy Wykonawcy, nr Części i pozycji, której próbka dotyczy. 19) próbki oferowanego wyrobu w przypadku gdy wyrób nie posiada numeru katalogowego.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1) Oświadczenie Wykonawcy, że wyroby medyczne/sprzęt jednorazowego użytku wyroby będące przedmiotem oferty są dopuszczone do obrotu i stosowania na terytorium Rzeczypospolitej Polskiej, zgodnie z obowiązującymi przepisami. Na każde żądanie Zamawiającego Wykonawca ma obowiązek niezwłocznie dostarczyć deklaracje zgodności </w:t>
      </w: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t xml:space="preserve">oferowanych wyrobów. 2) Oświadczenie producenta o kompatybilności strzykawek z dedykowanymi pompami: </w:t>
      </w:r>
      <w:proofErr w:type="spellStart"/>
      <w:r w:rsidRPr="00F136EB">
        <w:rPr>
          <w:rFonts w:eastAsia="Times New Roman" w:cs="Times New Roman"/>
          <w:sz w:val="24"/>
          <w:szCs w:val="24"/>
          <w:lang w:eastAsia="pl-PL"/>
        </w:rPr>
        <w:t>Ascor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. (Dotyczy Części nr 1 poz. 3 i 4).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Przetarg nieograniczony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Liczba wykonawców  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Umowa ramowa będzie zawarta: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Czas trwania: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IV.2.2) Kryteria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24aa</w:t>
      </w:r>
      <w:proofErr w:type="spellEnd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ust. 1 ustawy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(przetarg nieograniczony)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t xml:space="preserve">Tak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Czas trwania: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Data: godzina: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IV.5) ZMIANA UMOWY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Tak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Zakres, charakter oraz warunki wprowadzania zmian zostały określone we wzorze umowy stanowiącej załącznik nr 6 do SIWZ.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Data: 2019-05-24, godzina: 14:00,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Wskazać powody: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&gt; polski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Nie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p w:rsidR="00F136EB" w:rsidRPr="00F136EB" w:rsidRDefault="00F136EB" w:rsidP="00F136EB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52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Igły, strzykawki, przyrządy do przetaczania, przedłużacze do pomp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33141310-6, 33141320-9, 33194000-6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07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Przyrządy do przetaczania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33194000-6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55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Plastry do kaniul i do wkłuć centralnych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33141111-1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80"/>
        <w:gridCol w:w="834"/>
        <w:gridCol w:w="7157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Cewnik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Nelatona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Foley’a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Tiemanna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Pezzera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do karmienia niemowląt, zgłębniki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33141200-2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28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Cewnik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Kher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cewnik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Dufour</w:t>
            </w:r>
            <w:proofErr w:type="spellEnd"/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33141200-2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180"/>
        <w:gridCol w:w="834"/>
        <w:gridCol w:w="7214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Cewniki do odsysania górnych dróg oddechowych, do tlenu, maski do tlenu, rurki ustno-gardłowe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33141200-2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01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Kaniule , koreczki , kraniki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33194000-6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80"/>
        <w:gridCol w:w="834"/>
        <w:gridCol w:w="7132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Rurki intubacyjne, ustno-gardłowe, filtry, zestaw do drenażu klatki piersiowej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33141600-6, 33141900-9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00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Zestawy resuscytacyjne, maski krtaniowe, przedłużenie giętkie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33141600-6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09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Rurki krtaniowe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33162000-3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55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Wyroby różne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048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Zestaw do przezskórnej endoskopowej gastrostomii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33141600-6, 33162000-3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300"/>
        <w:gridCol w:w="834"/>
        <w:gridCol w:w="7276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Elektrody do czasowej stymulacji serca i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introduktory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Cewnik do HSG, zestaw do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cytostomii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katater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embolektomii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Kateter do drenażu klatki piersiowej, Zestaw do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kaniulacji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dużych naczyń, Igły do znieczulenia podpajęczynówkowego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33141200-2, 33141320-9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300"/>
        <w:gridCol w:w="834"/>
        <w:gridCol w:w="6988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Elektrody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w.u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., Elektrody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., żel do USG papier do EKG , USG , KTG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974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Siatki do korekcji wysiłkowego nietrzymania moczu u kobiet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33162000-3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067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Taśmy do korekcji wysiłkowego nietrzymania moczu u kobiet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33162000-3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22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Siatki do przepuklin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33162000-3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874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Worki na mocz, kanki, zestawy do lewatyw i inne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775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Rękawy i papier krepowany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22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Testy do sterylizacji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300"/>
        <w:gridCol w:w="834"/>
        <w:gridCol w:w="6999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Ładunki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do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staplera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liniowego wielorazowego użytku,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stapler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okrężny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33162000-3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00"/>
        <w:gridCol w:w="834"/>
        <w:gridCol w:w="7083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System do odsysania, zestaw do punkcji opłucnej i jamy otrzewnowej, klipsy do laparoskopu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33141600-6, 33162000-3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300"/>
        <w:gridCol w:w="834"/>
        <w:gridCol w:w="7219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Maski twarzowe anestetyczne wielorazowego użytku i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., Układy oddechowe do aparatu do znieczulenia typ FABIUS, pułapka wodna, układ rur do respiratora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Savina</w:t>
            </w:r>
            <w:proofErr w:type="spellEnd"/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33162000-3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300"/>
        <w:gridCol w:w="834"/>
        <w:gridCol w:w="7061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Ustniki do alkomatu ALCO-SENSOR 4, Ustniki do alkomatu ALCOTEST 7410 PLUS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641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Akcesoria różne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208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Końcówki do odsysania pola operacyjnego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33162000-3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300"/>
        <w:gridCol w:w="834"/>
        <w:gridCol w:w="7038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Akcesoria endoskopowe kompatybilne ze sprzętem endoskopowym firmy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Pentax</w:t>
            </w:r>
            <w:proofErr w:type="spellEnd"/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33162000-3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481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Wyroby z włókniny, podkład nieprzemakalny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915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Aspirator ssący do biopsji endometrium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33162000-3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595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Sprzęt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. ginekologiczny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382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Podkłady medyczne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575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Drut Prowadzący do URS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33162000-3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247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Zestawy do wewnętrznego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szynowania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moczowodów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33162000-3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022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Myjki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. do mycia pacjentów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848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Przewód do cystoskopu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Elektrody systemu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Quik-combo</w:t>
            </w:r>
            <w:proofErr w:type="spellEnd"/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33162000-3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742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Uszczelki do cystoskopu firmy VOLF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33162000-3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541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Obłożenia operacyjne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01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Rękawice nitrylowe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33141420-0,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933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Rękawice chirurgiczne wyjałowione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bezlateksowe</w:t>
            </w:r>
            <w:proofErr w:type="spellEnd"/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33141420-0,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049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Opatrunki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33141110-4, 33141111-1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61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Nici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poliglikolowe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wchłanialne</w:t>
            </w:r>
            <w:proofErr w:type="spellEnd"/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33141100-1,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008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Nici nylonowe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niewchłanialne</w:t>
            </w:r>
            <w:proofErr w:type="spellEnd"/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33141100-1,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341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Nici chirurgiczne różne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33141100-1,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761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Ventrofil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, szew syntetyczny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>33140000-3, 33141100-1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355"/>
      </w:tblGrid>
      <w:tr w:rsidR="00F136EB" w:rsidRPr="00F136EB" w:rsidTr="00F13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Bielizna operacyjna </w:t>
            </w:r>
            <w:proofErr w:type="spellStart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F136EB" w:rsidRPr="00F136EB" w:rsidRDefault="00F136EB" w:rsidP="00F136EB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36E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F136EB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F136EB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SIWZ.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36EB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  <w:t>data zakończenia: 2020-06-30</w:t>
      </w: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6EB" w:rsidRPr="00F136EB" w:rsidTr="00F13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EB" w:rsidRPr="00F136EB" w:rsidRDefault="00F136EB" w:rsidP="00F136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6EB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36EB" w:rsidRPr="00F136EB" w:rsidRDefault="00F136EB" w:rsidP="00F136EB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6EB">
        <w:rPr>
          <w:rFonts w:eastAsia="Times New Roman" w:cs="Times New Roman"/>
          <w:sz w:val="24"/>
          <w:szCs w:val="24"/>
          <w:lang w:eastAsia="pl-PL"/>
        </w:rPr>
        <w:br/>
      </w:r>
      <w:r w:rsidRPr="00F136EB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E17A07" w:rsidRDefault="00F136EB">
      <w:bookmarkStart w:id="0" w:name="_GoBack"/>
      <w:bookmarkEnd w:id="0"/>
    </w:p>
    <w:sectPr w:rsidR="00E1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FD"/>
    <w:rsid w:val="0016789B"/>
    <w:rsid w:val="001A08B6"/>
    <w:rsid w:val="004F6C70"/>
    <w:rsid w:val="00992D75"/>
    <w:rsid w:val="009E0EF5"/>
    <w:rsid w:val="00A511D2"/>
    <w:rsid w:val="00CB47C7"/>
    <w:rsid w:val="00CC5B2F"/>
    <w:rsid w:val="00CD3610"/>
    <w:rsid w:val="00DB69FD"/>
    <w:rsid w:val="00EB3963"/>
    <w:rsid w:val="00F136EB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9558</Words>
  <Characters>57351</Characters>
  <Application>Microsoft Office Word</Application>
  <DocSecurity>0</DocSecurity>
  <Lines>477</Lines>
  <Paragraphs>133</Paragraphs>
  <ScaleCrop>false</ScaleCrop>
  <Company/>
  <LinksUpToDate>false</LinksUpToDate>
  <CharactersWithSpaces>66776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User_ADM_03</dc:creator>
  <cp:keywords/>
  <dc:description/>
  <cp:lastModifiedBy>User_ADM_03</cp:lastModifiedBy>
  <cp:revision>2</cp:revision>
  <dcterms:created xsi:type="dcterms:W3CDTF">2019-05-14T11:08:00Z</dcterms:created>
  <dcterms:modified xsi:type="dcterms:W3CDTF">2019-05-14T11:08:00Z</dcterms:modified>
</cp:coreProperties>
</file>