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464BC" w14:textId="4EC8B671" w:rsidR="00C709AA" w:rsidRDefault="00C709AA" w:rsidP="00C709AA">
      <w:pPr>
        <w:spacing w:before="120" w:line="276" w:lineRule="auto"/>
        <w:rPr>
          <w:rFonts w:ascii="Calibri" w:hAnsi="Calibri"/>
          <w:b/>
          <w:sz w:val="20"/>
        </w:rPr>
      </w:pPr>
      <w:r w:rsidRPr="00C709AA">
        <w:rPr>
          <w:rFonts w:ascii="Calibri" w:hAnsi="Calibri"/>
          <w:b/>
          <w:sz w:val="20"/>
        </w:rPr>
        <w:t>ZOZ.V.260-6/ZP/22</w:t>
      </w:r>
    </w:p>
    <w:p w14:paraId="1469442B" w14:textId="36520C73" w:rsidR="00BE69CD" w:rsidRPr="00710A53" w:rsidRDefault="00BE69CD" w:rsidP="00BE69CD">
      <w:pPr>
        <w:spacing w:before="120" w:line="276" w:lineRule="auto"/>
        <w:jc w:val="right"/>
        <w:rPr>
          <w:rFonts w:ascii="Calibri" w:hAnsi="Calibri"/>
          <w:b/>
          <w:sz w:val="20"/>
        </w:rPr>
      </w:pPr>
      <w:r w:rsidRPr="00710A53">
        <w:rPr>
          <w:rFonts w:ascii="Calibri" w:hAnsi="Calibri"/>
          <w:b/>
          <w:sz w:val="20"/>
        </w:rPr>
        <w:t>Załącznik nr 1</w:t>
      </w:r>
      <w:r w:rsidR="00107A32">
        <w:rPr>
          <w:rFonts w:ascii="Calibri" w:hAnsi="Calibri"/>
          <w:b/>
          <w:sz w:val="20"/>
        </w:rPr>
        <w:t>1</w:t>
      </w:r>
      <w:r w:rsidRPr="00710A53">
        <w:rPr>
          <w:rFonts w:ascii="Calibri" w:hAnsi="Calibri"/>
          <w:b/>
          <w:sz w:val="20"/>
        </w:rPr>
        <w:t xml:space="preserve"> do SWZ </w:t>
      </w:r>
    </w:p>
    <w:p w14:paraId="0E8D859E" w14:textId="04F6C297" w:rsidR="007F65DA" w:rsidRPr="00BE69CD" w:rsidRDefault="00BE69CD" w:rsidP="00BE69CD">
      <w:pPr>
        <w:jc w:val="center"/>
        <w:rPr>
          <w:b/>
          <w:bCs/>
        </w:rPr>
      </w:pPr>
      <w:r w:rsidRPr="00BE69CD">
        <w:rPr>
          <w:b/>
          <w:bCs/>
        </w:rPr>
        <w:t>Zasady złożenia i badania próbki.</w:t>
      </w:r>
    </w:p>
    <w:p w14:paraId="7C34242F" w14:textId="242D45EC" w:rsidR="00542A6D" w:rsidRPr="00812AA0" w:rsidRDefault="00542A6D" w:rsidP="00542A6D">
      <w:pPr>
        <w:pStyle w:val="Akapitzlist"/>
        <w:numPr>
          <w:ilvl w:val="0"/>
          <w:numId w:val="1"/>
        </w:numPr>
        <w:jc w:val="both"/>
        <w:rPr>
          <w:b/>
          <w:bCs/>
        </w:rPr>
      </w:pPr>
      <w:r w:rsidRPr="00812AA0">
        <w:rPr>
          <w:b/>
          <w:bCs/>
        </w:rPr>
        <w:t>Zasady złożenia próbki.</w:t>
      </w:r>
    </w:p>
    <w:p w14:paraId="2FA4F546" w14:textId="75D80B3D" w:rsidR="00C84A5D" w:rsidRDefault="00C84A5D" w:rsidP="00C84A5D">
      <w:pPr>
        <w:jc w:val="both"/>
      </w:pPr>
      <w:r>
        <w:t>Mając na uwadze dyspozycję art. 106 ustawy PZP, Zamawiający wymaga, aby Wykonawca:</w:t>
      </w:r>
    </w:p>
    <w:p w14:paraId="666238F2" w14:textId="23D4094A" w:rsidR="00C84A5D" w:rsidRDefault="00C84A5D" w:rsidP="00542A6D">
      <w:pPr>
        <w:jc w:val="both"/>
      </w:pPr>
      <w:r>
        <w:t xml:space="preserve">1) Wraz z ofertą złożył próbkę oferowanego oprogramowania aplikacyjnego w postaci komputera przenośnego (laptopa) z zainstalowanymi wybranymi modułami / funkcjonalnościami wskazanymi </w:t>
      </w:r>
      <w:r w:rsidR="00542A6D">
        <w:br/>
      </w:r>
      <w:r>
        <w:t>w Załączniku nr 5 do SWZ – Funkcjonalności podstawowe weryfikowane na prezentacji</w:t>
      </w:r>
      <w:r w:rsidR="00542A6D">
        <w:t xml:space="preserve">. </w:t>
      </w:r>
    </w:p>
    <w:p w14:paraId="612F96CB" w14:textId="2F816652" w:rsidR="00C84A5D" w:rsidRDefault="00C84A5D" w:rsidP="00C84A5D">
      <w:pPr>
        <w:jc w:val="both"/>
      </w:pPr>
      <w:r>
        <w:t>2)</w:t>
      </w:r>
      <w:r w:rsidR="00542A6D">
        <w:t xml:space="preserve"> </w:t>
      </w:r>
      <w:r>
        <w:t xml:space="preserve">Próbka powinna być złożona wraz z działającą testową bazą danych zgodną z wymaganiami SWZ oraz wszelkimi niezbędnymi do prawidłowego działania systemu elementami umożliwiającymi właściwe działanie systemu, takimi jak, zmienne środowiskowe, biblioteki systemowe, komponenty systemu operacyjnego w tym zainstalowana przeglądarka internetowa (co najmniej Chrome lub Mozilla </w:t>
      </w:r>
      <w:proofErr w:type="spellStart"/>
      <w:r>
        <w:t>Firefox</w:t>
      </w:r>
      <w:proofErr w:type="spellEnd"/>
      <w:r>
        <w:t xml:space="preserve">). </w:t>
      </w:r>
    </w:p>
    <w:p w14:paraId="79B8E5C0" w14:textId="77E02581" w:rsidR="00C84A5D" w:rsidRDefault="00C84A5D" w:rsidP="00C84A5D">
      <w:pPr>
        <w:jc w:val="both"/>
      </w:pPr>
      <w:r>
        <w:t>3)</w:t>
      </w:r>
      <w:r w:rsidR="00542A6D">
        <w:t xml:space="preserve"> </w:t>
      </w:r>
      <w:r>
        <w:t xml:space="preserve">Próbka musi być dostarczona w formie fizycznych urządzeń, nie jest dopuszczalne stosowanie emulatorów. Na dostarczonej próbce systemu Zamawiający wymaga założenia konta użytkownika posiadającego prawa administracyjne do oprogramowania, tak aby możliwe było założenie nowego użytkownika systemu, wprowadzenie danych testowych, wykonywanie wykazów oraz wszelkich innych czynności umożliwiających przeprowadzenie weryfikacji oferowanego systemu celem potwierdzenia, iż oferta odpowiada treści SIWZ. Login użytkownika posiadającego prawa administracyjne do oprogramowania: ADMIN. Hasło użytkownika posiadającego prawa administracyjne do oprogramowania: ADMIN. Ponadto wymagane jest dołączenie kompletnej instrukcji uruchomienia </w:t>
      </w:r>
      <w:r w:rsidR="00542A6D">
        <w:br/>
      </w:r>
      <w:r>
        <w:t>i użytkowania próbki.</w:t>
      </w:r>
    </w:p>
    <w:p w14:paraId="4552E831" w14:textId="76757A9C" w:rsidR="00C84A5D" w:rsidRDefault="00C84A5D" w:rsidP="00C84A5D">
      <w:pPr>
        <w:jc w:val="both"/>
      </w:pPr>
      <w:r>
        <w:t>4)</w:t>
      </w:r>
      <w:r w:rsidR="00542A6D">
        <w:t xml:space="preserve"> </w:t>
      </w:r>
      <w:r>
        <w:t xml:space="preserve">Zabronione będzie łączenie się z komputera  (próbki) z innymi urządzeniami niż te wskazane w pkt 7. </w:t>
      </w:r>
    </w:p>
    <w:p w14:paraId="18A279F1" w14:textId="70F5AF25" w:rsidR="00C84A5D" w:rsidRDefault="00C84A5D" w:rsidP="00C84A5D">
      <w:pPr>
        <w:jc w:val="both"/>
      </w:pPr>
      <w:r>
        <w:t>5)</w:t>
      </w:r>
      <w:r w:rsidR="00542A6D">
        <w:t xml:space="preserve"> </w:t>
      </w:r>
      <w:r>
        <w:t>Próbkę na prezentację udostępni Wykonawcy Zamawiający na 60 minut przed terminem jej rozpoczęcia.</w:t>
      </w:r>
    </w:p>
    <w:p w14:paraId="2C2CD9BC" w14:textId="6C3B7B33" w:rsidR="00C84A5D" w:rsidRDefault="00C84A5D" w:rsidP="00C84A5D">
      <w:pPr>
        <w:jc w:val="both"/>
      </w:pPr>
      <w:r>
        <w:t>6)</w:t>
      </w:r>
      <w:r w:rsidR="00542A6D">
        <w:t xml:space="preserve"> </w:t>
      </w:r>
      <w:r>
        <w:t xml:space="preserve">Na prośbę Zmawiającego Wykonawca jest zobowiązany do umożliwienia połączenia z routerem </w:t>
      </w:r>
      <w:r w:rsidR="00812AA0">
        <w:br/>
      </w:r>
      <w:r>
        <w:t xml:space="preserve">w celu sprawdzenia urządzeń połączonych do sieci routera. </w:t>
      </w:r>
    </w:p>
    <w:p w14:paraId="4FA9CA34" w14:textId="606B1082" w:rsidR="00C84A5D" w:rsidRDefault="00C84A5D" w:rsidP="00C84A5D">
      <w:pPr>
        <w:jc w:val="both"/>
      </w:pPr>
      <w:r>
        <w:t>7)</w:t>
      </w:r>
      <w:r w:rsidR="00542A6D">
        <w:t xml:space="preserve"> </w:t>
      </w:r>
      <w:r>
        <w:t xml:space="preserve">Wykonawca zapewni wszelkie niezbędne do przeprowadzenia prezentacji zasoby konieczne do wykonania prezentacji wybranych funkcjonalności wskazanych w załączniku </w:t>
      </w:r>
      <w:r w:rsidR="00542A6D">
        <w:t>5</w:t>
      </w:r>
      <w:r>
        <w:t xml:space="preserve"> SWZ. Jeśli to konieczne, m.in. następujące zasoby sprzętowe: </w:t>
      </w:r>
    </w:p>
    <w:p w14:paraId="3FBEFC9D" w14:textId="77777777" w:rsidR="00C84A5D" w:rsidRDefault="00C84A5D" w:rsidP="00C84A5D">
      <w:pPr>
        <w:jc w:val="both"/>
      </w:pPr>
      <w:r>
        <w:t>- drukarkę - wykonawca zapewni możliwość wykonania wydruku podczas prowadzenia prezentacji.</w:t>
      </w:r>
    </w:p>
    <w:p w14:paraId="1CEDF711" w14:textId="77777777" w:rsidR="00C84A5D" w:rsidRDefault="00C84A5D" w:rsidP="00C84A5D">
      <w:pPr>
        <w:jc w:val="both"/>
      </w:pPr>
      <w:r>
        <w:t xml:space="preserve">- projektor, </w:t>
      </w:r>
    </w:p>
    <w:p w14:paraId="702C0D75" w14:textId="77777777" w:rsidR="00C84A5D" w:rsidRDefault="00C84A5D" w:rsidP="00C84A5D">
      <w:pPr>
        <w:jc w:val="both"/>
      </w:pPr>
      <w:r>
        <w:t xml:space="preserve">- tablet z systemem Android i zainstalowana przeglądarką internetową </w:t>
      </w:r>
    </w:p>
    <w:p w14:paraId="650D29E1" w14:textId="77777777" w:rsidR="00C84A5D" w:rsidRDefault="00C84A5D" w:rsidP="00C84A5D">
      <w:pPr>
        <w:jc w:val="both"/>
      </w:pPr>
      <w:r>
        <w:t>- router sieciowy do połączenia tabletu z próbką</w:t>
      </w:r>
    </w:p>
    <w:p w14:paraId="0A561BA1" w14:textId="0073DCC7" w:rsidR="00C84A5D" w:rsidRDefault="00C84A5D" w:rsidP="00542A6D">
      <w:pPr>
        <w:jc w:val="both"/>
      </w:pPr>
      <w:r>
        <w:t>8)</w:t>
      </w:r>
      <w:r w:rsidR="00542A6D">
        <w:t xml:space="preserve"> </w:t>
      </w:r>
      <w:r>
        <w:t xml:space="preserve">Zamawiający informuje, iż Zamawiający zwróci Wykonawcom, których oferty nie zostały wybrane, na ich wniosek, złożone przez nich próbki. Próbka Wykonawcy, którego oferta zostanie wybrana stanie się załącznikiem do protokołu, którą Zamawiający ma obowiązek przechowywać przez okres 4 lat od </w:t>
      </w:r>
      <w:r>
        <w:lastRenderedPageBreak/>
        <w:t>dnia zakończenia postępowania o udzielenie zamówienia, w sposób gwarantujący jego nienaruszalność.</w:t>
      </w:r>
    </w:p>
    <w:p w14:paraId="2D3043C7" w14:textId="27138FB0" w:rsidR="00C84A5D" w:rsidRPr="00812AA0" w:rsidRDefault="00812AA0" w:rsidP="00812AA0">
      <w:pPr>
        <w:pStyle w:val="Akapitzlist"/>
        <w:numPr>
          <w:ilvl w:val="0"/>
          <w:numId w:val="1"/>
        </w:numPr>
        <w:jc w:val="both"/>
        <w:rPr>
          <w:b/>
          <w:bCs/>
        </w:rPr>
      </w:pPr>
      <w:r w:rsidRPr="00812AA0">
        <w:rPr>
          <w:b/>
          <w:bCs/>
        </w:rPr>
        <w:t>Zasady</w:t>
      </w:r>
      <w:r>
        <w:t xml:space="preserve"> </w:t>
      </w:r>
      <w:r w:rsidRPr="00812AA0">
        <w:rPr>
          <w:b/>
          <w:bCs/>
        </w:rPr>
        <w:t>badania próbki</w:t>
      </w:r>
    </w:p>
    <w:p w14:paraId="71BD260A" w14:textId="69D50BBD" w:rsidR="00B6260A" w:rsidRDefault="00B6260A" w:rsidP="00BE69CD">
      <w:pPr>
        <w:jc w:val="both"/>
      </w:pPr>
      <w:r>
        <w:t>W celu potwierdzenie wymagań Zamawiający wezwie Wykonawcę do prezentacji funkcjonalności zaoferowanego systemu, zgodnie z zasadami określonymi poniżej:</w:t>
      </w:r>
    </w:p>
    <w:p w14:paraId="619FAAB7" w14:textId="25BC4DA4" w:rsidR="00B6260A" w:rsidRDefault="00B6260A" w:rsidP="00BE69CD">
      <w:pPr>
        <w:jc w:val="both"/>
      </w:pPr>
      <w:r>
        <w:t>a) Wykonawca ma obowiązek stawienia się na prezentacji systemu w terminie wyznaczonym przez</w:t>
      </w:r>
      <w:r w:rsidR="00BE69CD">
        <w:t xml:space="preserve"> </w:t>
      </w:r>
      <w:r>
        <w:t xml:space="preserve">Zamawiającego. </w:t>
      </w:r>
    </w:p>
    <w:p w14:paraId="456507CC" w14:textId="43FB6465" w:rsidR="00B6260A" w:rsidRDefault="00B6260A" w:rsidP="00BE69CD">
      <w:pPr>
        <w:jc w:val="both"/>
      </w:pPr>
      <w:r>
        <w:t xml:space="preserve">b) Wezwanie Wykonawcy do przeprowadzenia prezentacji w siedzibie Zamawiającego nastąpi </w:t>
      </w:r>
      <w:r w:rsidR="00BE69CD">
        <w:br/>
      </w:r>
      <w:r>
        <w:t>w terminie wskazanym przez Zamawiającego w wezwaniu, tj. w terminie nie krótszym niż 10 dni.</w:t>
      </w:r>
    </w:p>
    <w:p w14:paraId="4FE8F2C0" w14:textId="77777777" w:rsidR="00B6260A" w:rsidRDefault="00B6260A" w:rsidP="00BE69CD">
      <w:pPr>
        <w:jc w:val="both"/>
      </w:pPr>
      <w:r>
        <w:t>c) Wykonawca zobowiązany jest zapewnić niezbędny sprzęt i oprogramowanie niezbędne do przeprowadzenia prezentacji. Zamawiający zapewni pomieszczenie wraz z dostępem do energii elektrycznej. Na prośbę Wykonawcy, istnieje możliwość udostępnienia przez Zamawiającego połączenia z siecią Internet o parametrach wskazanych przez Zamawiającego.</w:t>
      </w:r>
    </w:p>
    <w:p w14:paraId="36B5A131" w14:textId="5826FDD8" w:rsidR="00B6260A" w:rsidRDefault="00B6260A" w:rsidP="00BE69CD">
      <w:pPr>
        <w:jc w:val="both"/>
      </w:pPr>
      <w:r>
        <w:t xml:space="preserve">d) Jeżeli którakolwiek funkcjonalność nie zostanie zademonstrowana (nie zostanie zademonstrowany jeden lub więcej elementów do zrealizowania zgodnie z przedstawionymi scenariuszem lub ujawni braki w danej funkcjonalności), Zamawiający </w:t>
      </w:r>
      <w:r w:rsidR="00C70302">
        <w:t>odrzuci badaną ofertę</w:t>
      </w:r>
      <w:r>
        <w:t>.</w:t>
      </w:r>
    </w:p>
    <w:p w14:paraId="70F5AEC9" w14:textId="77777777" w:rsidR="00B6260A" w:rsidRDefault="00B6260A" w:rsidP="00BE69CD">
      <w:pPr>
        <w:jc w:val="both"/>
      </w:pPr>
      <w:r>
        <w:t>e) Po wykonaniu prezentacji zostanie podpisany przez strony protokół przeprowadzenia prezentacji.</w:t>
      </w:r>
    </w:p>
    <w:p w14:paraId="4592936C" w14:textId="303CCAD7" w:rsidR="00B6260A" w:rsidRDefault="00B6260A" w:rsidP="00BE69CD">
      <w:pPr>
        <w:jc w:val="both"/>
      </w:pPr>
      <w:r>
        <w:t>f) Prezentacja będzie się odbywać w dniach roboczych, w godzinach 08:00 – 14:00, jeżeli prezentacja nie zakończy się w ciągu jednego dnia, Zamawiający wyznaczy dodatkowy termin na dokończenie</w:t>
      </w:r>
      <w:r w:rsidR="00BE69CD">
        <w:t xml:space="preserve"> </w:t>
      </w:r>
      <w:r>
        <w:t>prezentacji.</w:t>
      </w:r>
    </w:p>
    <w:p w14:paraId="232E6536" w14:textId="1EB14218" w:rsidR="00B6260A" w:rsidRDefault="00B6260A" w:rsidP="00BE69CD">
      <w:pPr>
        <w:jc w:val="both"/>
      </w:pPr>
      <w:r>
        <w:t xml:space="preserve">g) Komisja przetargowa może w trakcie prezentacji zadawać Wykonawcy pytania celem weryfikacji. </w:t>
      </w:r>
      <w:r w:rsidR="00BE69CD">
        <w:br/>
      </w:r>
      <w:r>
        <w:t xml:space="preserve">W trakcie testu Wykonawca może udzielać Zamawiającemu dodatkowych informacji związanych </w:t>
      </w:r>
      <w:r w:rsidR="00BE69CD">
        <w:br/>
      </w:r>
      <w:r>
        <w:t>z weryfikowaną funkcjonalnością lub parametrami.</w:t>
      </w:r>
    </w:p>
    <w:p w14:paraId="45ED8D54" w14:textId="10FDB487" w:rsidR="00B6260A" w:rsidRDefault="00B6260A" w:rsidP="00BE69CD">
      <w:pPr>
        <w:jc w:val="both"/>
      </w:pPr>
      <w:r>
        <w:t>i) Wykonawca powinien w sposób jednoznaczny wykazać, że weryfikowana funkcjonalność jest dostępna w oprogramowaniu aplikacyjnym, oraz że wybrane przez Zamawiającego parametry oprogramowania aplikacyjnego są zgodne z wymaganiami opisanymi w SIWZ</w:t>
      </w:r>
      <w:r w:rsidR="00BE69CD">
        <w:t>.</w:t>
      </w:r>
    </w:p>
    <w:p w14:paraId="3313D692" w14:textId="4BF7392D" w:rsidR="00B6260A" w:rsidRDefault="00B6260A" w:rsidP="00BE69CD">
      <w:pPr>
        <w:jc w:val="both"/>
      </w:pPr>
      <w:r>
        <w:t>j) W przypadku gdy z winy Wykonawcy dojdzie do opóźnienia w terminie rozpoczęcia weryfikacji</w:t>
      </w:r>
      <w:r w:rsidR="00BE69CD">
        <w:t xml:space="preserve"> </w:t>
      </w:r>
      <w:r>
        <w:t xml:space="preserve">funkcjonalności przekraczającego 60 minut zegarowych, Komisja przetargowa uzna, że Wykonawca nie przystąpił do weryfikacji. </w:t>
      </w:r>
      <w:r w:rsidR="00C70302">
        <w:t>Badana oferta zostanie odrzucona.</w:t>
      </w:r>
    </w:p>
    <w:p w14:paraId="1B1B76B5" w14:textId="0B157A90" w:rsidR="00B6260A" w:rsidRDefault="00B6260A" w:rsidP="00BE69CD">
      <w:pPr>
        <w:jc w:val="both"/>
      </w:pPr>
      <w:r>
        <w:t>k) W uzasadnionych przypadkach, Zamawiający na wniosek Wykonawcy, może zmienić termin prezentacji, z zastrzeżeniem że przedmiotowy wniosek zostanie złożony najpóźniej do wyznaczonego pierwotnie terminu rozpoczęcia prezentacji</w:t>
      </w:r>
      <w:r w:rsidR="00BE69CD">
        <w:t>.</w:t>
      </w:r>
    </w:p>
    <w:p w14:paraId="07A5C52A" w14:textId="205CFFF9" w:rsidR="00B6260A" w:rsidRDefault="00B6260A" w:rsidP="00BE69CD">
      <w:pPr>
        <w:jc w:val="both"/>
      </w:pPr>
      <w:r>
        <w:t>l) Wykonawca będzie zobowiązany przedstawić listę osób uczestniczących w prezentacji, ze wskazaniem jaką funkcję w prezentacji pełni każdy członek zespołu. W pomieszczeniu, gdzie będzie wykonywana prezentacja, może przebywać jednocześnie maksymalnie pięć osób po stronie Wykonawcy. Wykonawcę w czasie prezentacji reprezentuje osoba uprawniona do działania w jego imieniu upoważniona na podstawie pełnomocnictwa załączonego do oferty lub złożonego przed rozpoczęciem prezentacji</w:t>
      </w:r>
      <w:r w:rsidR="00BE69CD">
        <w:t>.</w:t>
      </w:r>
    </w:p>
    <w:p w14:paraId="7D8993B4" w14:textId="77777777" w:rsidR="00B6260A" w:rsidRDefault="00B6260A" w:rsidP="00BE69CD">
      <w:pPr>
        <w:jc w:val="both"/>
      </w:pPr>
      <w:r>
        <w:lastRenderedPageBreak/>
        <w:t>m) Weryfikacja funkcjonalności oprogramowania w formie prezentacji (testu) może być zarejestrowana przy użyciu kamery wideo wyłącznie przez Zamawiającego. Rejestracja wideo zostanie wykorzystana jako pomoc w sporządzeniu pisemnego protokołu z przeprowadzenia weryfikacji.</w:t>
      </w:r>
    </w:p>
    <w:p w14:paraId="38EB64E4" w14:textId="3E22CD52" w:rsidR="00B6260A" w:rsidRDefault="00B6260A" w:rsidP="00BE69CD">
      <w:pPr>
        <w:jc w:val="both"/>
      </w:pPr>
      <w:r>
        <w:t xml:space="preserve">n) Z weryfikacja funkcjonalności oprogramowania w formie prezentacji zostanie sporządzony protokół, który będzie podpisany przez strony (zarówno przez Zamawiającego jak i Wykonawcy) i udostępniony Wykonawcy, gdzie zostanie odnotowany fakt prezentacji funkcjonalności systemu bądź rozbieżności </w:t>
      </w:r>
      <w:r w:rsidR="00BE69CD">
        <w:br/>
      </w:r>
      <w:r>
        <w:t>w prezentacji, którego załącznik stanowić będzie nagranie video.</w:t>
      </w:r>
    </w:p>
    <w:p w14:paraId="6EA58B41" w14:textId="5FDC3732" w:rsidR="00BE69CD" w:rsidRDefault="00BE69CD" w:rsidP="00BE69CD">
      <w:pPr>
        <w:jc w:val="both"/>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8789"/>
      </w:tblGrid>
      <w:tr w:rsidR="00BE69CD" w:rsidRPr="002226B0" w14:paraId="291AF3A7" w14:textId="77777777" w:rsidTr="00D60DEF">
        <w:trPr>
          <w:trHeight w:val="300"/>
        </w:trPr>
        <w:tc>
          <w:tcPr>
            <w:tcW w:w="704" w:type="dxa"/>
          </w:tcPr>
          <w:p w14:paraId="58F4942C" w14:textId="77777777" w:rsidR="00BE69CD" w:rsidRPr="002226B0" w:rsidRDefault="00BE69CD" w:rsidP="00D60DEF">
            <w:pPr>
              <w:spacing w:after="0" w:line="360" w:lineRule="auto"/>
              <w:rPr>
                <w:rFonts w:eastAsia="Times New Roman" w:cstheme="minorHAnsi"/>
                <w:b/>
                <w:lang w:eastAsia="pl-PL"/>
              </w:rPr>
            </w:pPr>
          </w:p>
        </w:tc>
        <w:tc>
          <w:tcPr>
            <w:tcW w:w="8789" w:type="dxa"/>
            <w:shd w:val="clear" w:color="auto" w:fill="auto"/>
          </w:tcPr>
          <w:p w14:paraId="39E5347A" w14:textId="77777777" w:rsidR="00BE69CD" w:rsidRPr="002226B0" w:rsidRDefault="00BE69CD" w:rsidP="00D60DEF">
            <w:pPr>
              <w:spacing w:after="0" w:line="360" w:lineRule="auto"/>
              <w:rPr>
                <w:rFonts w:eastAsia="Times New Roman" w:cstheme="minorHAnsi"/>
                <w:b/>
                <w:lang w:eastAsia="pl-PL"/>
              </w:rPr>
            </w:pPr>
            <w:r w:rsidRPr="002226B0">
              <w:rPr>
                <w:rFonts w:eastAsia="Times New Roman" w:cstheme="minorHAnsi"/>
                <w:b/>
                <w:lang w:eastAsia="pl-PL"/>
              </w:rPr>
              <w:t>Funkcjonalności obligatoryjne systemu weryfikowane na prezentacji</w:t>
            </w:r>
          </w:p>
        </w:tc>
      </w:tr>
      <w:tr w:rsidR="00BE69CD" w:rsidRPr="002226B0" w14:paraId="11AE0052" w14:textId="77777777" w:rsidTr="00D60DEF">
        <w:trPr>
          <w:trHeight w:val="300"/>
        </w:trPr>
        <w:tc>
          <w:tcPr>
            <w:tcW w:w="704" w:type="dxa"/>
            <w:shd w:val="clear" w:color="000000" w:fill="DCE6F1"/>
          </w:tcPr>
          <w:p w14:paraId="0A022483" w14:textId="77777777" w:rsidR="00BE69CD" w:rsidRPr="002226B0" w:rsidRDefault="00BE69CD" w:rsidP="00D60DEF">
            <w:pPr>
              <w:spacing w:after="0" w:line="360" w:lineRule="auto"/>
              <w:rPr>
                <w:rFonts w:eastAsia="Times New Roman" w:cstheme="minorHAnsi"/>
                <w:lang w:eastAsia="pl-PL"/>
              </w:rPr>
            </w:pPr>
          </w:p>
        </w:tc>
        <w:tc>
          <w:tcPr>
            <w:tcW w:w="8789" w:type="dxa"/>
            <w:shd w:val="clear" w:color="000000" w:fill="DCE6F1"/>
            <w:hideMark/>
          </w:tcPr>
          <w:p w14:paraId="0F3F7D13" w14:textId="77777777" w:rsidR="00BE69CD" w:rsidRPr="002226B0" w:rsidRDefault="00BE69CD" w:rsidP="00D60DEF">
            <w:pPr>
              <w:spacing w:after="0" w:line="360" w:lineRule="auto"/>
              <w:rPr>
                <w:rFonts w:eastAsia="Times New Roman" w:cstheme="minorHAnsi"/>
                <w:lang w:eastAsia="pl-PL"/>
              </w:rPr>
            </w:pPr>
            <w:r w:rsidRPr="002226B0">
              <w:rPr>
                <w:rFonts w:eastAsia="Times New Roman" w:cstheme="minorHAnsi"/>
                <w:lang w:eastAsia="pl-PL"/>
              </w:rPr>
              <w:t>E-PORTAL PACJENTA</w:t>
            </w:r>
          </w:p>
        </w:tc>
      </w:tr>
      <w:tr w:rsidR="00BE69CD" w:rsidRPr="002226B0" w14:paraId="42BF8C19" w14:textId="77777777" w:rsidTr="00D60DEF">
        <w:trPr>
          <w:trHeight w:val="300"/>
        </w:trPr>
        <w:tc>
          <w:tcPr>
            <w:tcW w:w="704" w:type="dxa"/>
            <w:tcBorders>
              <w:top w:val="single" w:sz="4" w:space="0" w:color="auto"/>
              <w:left w:val="single" w:sz="4" w:space="0" w:color="auto"/>
              <w:bottom w:val="single" w:sz="4" w:space="0" w:color="auto"/>
              <w:right w:val="single" w:sz="4" w:space="0" w:color="auto"/>
            </w:tcBorders>
          </w:tcPr>
          <w:p w14:paraId="5B4F0907" w14:textId="77777777" w:rsidR="00BE69CD" w:rsidRPr="002226B0" w:rsidRDefault="00BE69CD" w:rsidP="00D60DEF">
            <w:pPr>
              <w:spacing w:after="0" w:line="360" w:lineRule="auto"/>
              <w:rPr>
                <w:rFonts w:eastAsia="Times New Roman" w:cstheme="minorHAnsi"/>
                <w:lang w:eastAsia="pl-PL"/>
              </w:rPr>
            </w:pPr>
            <w:r w:rsidRPr="002226B0">
              <w:rPr>
                <w:rFonts w:eastAsia="Times New Roman" w:cstheme="minorHAnsi"/>
                <w:lang w:eastAsia="pl-PL"/>
              </w:rPr>
              <w:t>1.</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14:paraId="021A3713" w14:textId="77777777" w:rsidR="00BE69CD" w:rsidRPr="002226B0" w:rsidRDefault="00BE69CD" w:rsidP="00D60DEF">
            <w:pPr>
              <w:spacing w:after="0" w:line="360" w:lineRule="auto"/>
              <w:rPr>
                <w:rFonts w:eastAsia="Times New Roman" w:cstheme="minorHAnsi"/>
                <w:lang w:eastAsia="pl-PL"/>
              </w:rPr>
            </w:pPr>
            <w:r w:rsidRPr="00711288">
              <w:rPr>
                <w:rFonts w:eastAsia="Times New Roman" w:cstheme="minorHAnsi"/>
                <w:lang w:eastAsia="pl-PL"/>
              </w:rPr>
              <w:t>Formularz rejestracyjny musi zawierać dane, które jednoznacznie identyfikują nowego użytkownika, w tym co najmniej: imię, nazwisko, PESEL, numer telefonu oraz adres e-mail.</w:t>
            </w:r>
          </w:p>
        </w:tc>
      </w:tr>
      <w:tr w:rsidR="00BE69CD" w:rsidRPr="002226B0" w14:paraId="39DBDD91" w14:textId="77777777" w:rsidTr="00D60DEF">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DCE6F1"/>
          </w:tcPr>
          <w:p w14:paraId="496E7DC4" w14:textId="77777777" w:rsidR="00BE69CD" w:rsidRPr="002226B0" w:rsidRDefault="00BE69CD" w:rsidP="00D60DEF">
            <w:pPr>
              <w:spacing w:after="0" w:line="360" w:lineRule="auto"/>
              <w:rPr>
                <w:rFonts w:eastAsia="Times New Roman" w:cstheme="minorHAnsi"/>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DCE6F1"/>
          </w:tcPr>
          <w:p w14:paraId="2EDB9B26" w14:textId="77777777" w:rsidR="00BE69CD" w:rsidRPr="002226B0" w:rsidRDefault="00BE69CD" w:rsidP="00D60DEF">
            <w:pPr>
              <w:spacing w:after="0" w:line="360" w:lineRule="auto"/>
              <w:rPr>
                <w:rFonts w:eastAsia="Times New Roman" w:cstheme="minorHAnsi"/>
                <w:lang w:eastAsia="pl-PL"/>
              </w:rPr>
            </w:pPr>
          </w:p>
        </w:tc>
      </w:tr>
      <w:tr w:rsidR="00BE69CD" w:rsidRPr="002226B0" w14:paraId="2CE8A0BB" w14:textId="77777777" w:rsidTr="00D60DEF">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DCE6F1"/>
          </w:tcPr>
          <w:p w14:paraId="42CFD892" w14:textId="77777777" w:rsidR="00BE69CD" w:rsidRPr="002226B0" w:rsidRDefault="00BE69CD" w:rsidP="00D60DEF">
            <w:pPr>
              <w:spacing w:after="0" w:line="360" w:lineRule="auto"/>
              <w:rPr>
                <w:rFonts w:eastAsia="Times New Roman" w:cstheme="minorHAnsi"/>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DCE6F1"/>
            <w:hideMark/>
          </w:tcPr>
          <w:p w14:paraId="3AB42B29" w14:textId="77777777" w:rsidR="00BE69CD" w:rsidRPr="002226B0" w:rsidRDefault="00BE69CD" w:rsidP="00D60DEF">
            <w:pPr>
              <w:spacing w:after="0" w:line="360" w:lineRule="auto"/>
              <w:rPr>
                <w:rFonts w:eastAsia="Times New Roman" w:cstheme="minorHAnsi"/>
                <w:lang w:eastAsia="pl-PL"/>
              </w:rPr>
            </w:pPr>
            <w:r w:rsidRPr="002226B0">
              <w:rPr>
                <w:rFonts w:eastAsia="Times New Roman" w:cstheme="minorHAnsi"/>
                <w:lang w:eastAsia="pl-PL"/>
              </w:rPr>
              <w:t>E-WYNIKI</w:t>
            </w:r>
          </w:p>
        </w:tc>
      </w:tr>
      <w:tr w:rsidR="00BE69CD" w:rsidRPr="002226B0" w14:paraId="47D3B875" w14:textId="77777777" w:rsidTr="00D60DEF">
        <w:trPr>
          <w:trHeight w:val="300"/>
        </w:trPr>
        <w:tc>
          <w:tcPr>
            <w:tcW w:w="704" w:type="dxa"/>
            <w:tcBorders>
              <w:top w:val="single" w:sz="4" w:space="0" w:color="auto"/>
              <w:left w:val="single" w:sz="4" w:space="0" w:color="auto"/>
              <w:bottom w:val="single" w:sz="4" w:space="0" w:color="auto"/>
              <w:right w:val="single" w:sz="4" w:space="0" w:color="auto"/>
            </w:tcBorders>
          </w:tcPr>
          <w:p w14:paraId="736B01CB" w14:textId="77777777" w:rsidR="00BE69CD" w:rsidRPr="002226B0" w:rsidRDefault="00BE69CD" w:rsidP="00D60DEF">
            <w:pPr>
              <w:spacing w:after="0" w:line="360" w:lineRule="auto"/>
              <w:rPr>
                <w:rFonts w:eastAsia="Times New Roman" w:cstheme="minorHAnsi"/>
                <w:lang w:eastAsia="pl-PL"/>
              </w:rPr>
            </w:pPr>
            <w:r>
              <w:rPr>
                <w:rFonts w:eastAsia="Times New Roman" w:cstheme="minorHAnsi"/>
                <w:lang w:eastAsia="pl-PL"/>
              </w:rPr>
              <w:t>2</w:t>
            </w:r>
            <w:r w:rsidRPr="002226B0">
              <w:rPr>
                <w:rFonts w:eastAsia="Times New Roman" w:cstheme="minorHAnsi"/>
                <w:lang w:eastAsia="pl-PL"/>
              </w:rPr>
              <w:t>.</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14:paraId="6B30BD1C" w14:textId="77777777" w:rsidR="00BE69CD" w:rsidRPr="002226B0" w:rsidRDefault="00BE69CD" w:rsidP="00D60DEF">
            <w:pPr>
              <w:spacing w:after="0" w:line="360" w:lineRule="auto"/>
              <w:rPr>
                <w:rFonts w:eastAsia="Times New Roman" w:cstheme="minorHAnsi"/>
                <w:lang w:eastAsia="pl-PL"/>
              </w:rPr>
            </w:pPr>
            <w:r w:rsidRPr="00711288">
              <w:rPr>
                <w:rFonts w:eastAsia="Times New Roman" w:cstheme="minorHAnsi"/>
                <w:lang w:eastAsia="pl-PL"/>
              </w:rPr>
              <w:t>Pacjent korzystając z przygotowanej witryny internetowej musi mieć możliwość zalogowania, wyboru na podstawie różnych kryteriów (jednostka wykonująca, nazwa badania, status) interesujących go wyników a następnie odczytania ich, pobrania lub wydrukowania.</w:t>
            </w:r>
          </w:p>
        </w:tc>
      </w:tr>
      <w:tr w:rsidR="00BE69CD" w:rsidRPr="002226B0" w14:paraId="7E2FEFE0" w14:textId="77777777" w:rsidTr="00D60DEF">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0583FE4" w14:textId="77777777" w:rsidR="00BE69CD" w:rsidRPr="002226B0" w:rsidRDefault="00BE69CD" w:rsidP="00D60DEF">
            <w:pPr>
              <w:spacing w:after="0" w:line="360" w:lineRule="auto"/>
              <w:rPr>
                <w:rFonts w:eastAsia="Times New Roman" w:cstheme="minorHAnsi"/>
                <w:lang w:eastAsia="pl-PL"/>
              </w:rPr>
            </w:pPr>
          </w:p>
        </w:tc>
        <w:tc>
          <w:tcPr>
            <w:tcW w:w="878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97CA11" w14:textId="77777777" w:rsidR="00BE69CD" w:rsidRPr="002226B0" w:rsidRDefault="00BE69CD" w:rsidP="00D60DEF">
            <w:pPr>
              <w:spacing w:after="0" w:line="360" w:lineRule="auto"/>
              <w:rPr>
                <w:rFonts w:eastAsia="Times New Roman" w:cstheme="minorHAnsi"/>
                <w:lang w:eastAsia="pl-PL"/>
              </w:rPr>
            </w:pPr>
            <w:r w:rsidRPr="002226B0">
              <w:rPr>
                <w:rFonts w:eastAsia="Times New Roman" w:cstheme="minorHAnsi"/>
                <w:lang w:eastAsia="pl-PL"/>
              </w:rPr>
              <w:t>E-DOKUMENTACJA</w:t>
            </w:r>
          </w:p>
        </w:tc>
      </w:tr>
      <w:tr w:rsidR="00BE69CD" w:rsidRPr="002226B0" w14:paraId="758B394F" w14:textId="77777777" w:rsidTr="00D60DEF">
        <w:trPr>
          <w:trHeight w:val="300"/>
        </w:trPr>
        <w:tc>
          <w:tcPr>
            <w:tcW w:w="704" w:type="dxa"/>
            <w:tcBorders>
              <w:top w:val="single" w:sz="4" w:space="0" w:color="auto"/>
              <w:left w:val="single" w:sz="4" w:space="0" w:color="auto"/>
              <w:bottom w:val="single" w:sz="4" w:space="0" w:color="auto"/>
              <w:right w:val="single" w:sz="4" w:space="0" w:color="auto"/>
            </w:tcBorders>
          </w:tcPr>
          <w:p w14:paraId="10124E67" w14:textId="77777777" w:rsidR="00BE69CD" w:rsidRPr="002226B0" w:rsidRDefault="00BE69CD" w:rsidP="00D60DEF">
            <w:pPr>
              <w:spacing w:after="0" w:line="360" w:lineRule="auto"/>
              <w:rPr>
                <w:rFonts w:eastAsia="Times New Roman" w:cstheme="minorHAnsi"/>
                <w:lang w:eastAsia="pl-PL"/>
              </w:rPr>
            </w:pPr>
            <w:r>
              <w:rPr>
                <w:rFonts w:eastAsia="Times New Roman" w:cstheme="minorHAnsi"/>
                <w:lang w:eastAsia="pl-PL"/>
              </w:rPr>
              <w:t>3</w:t>
            </w:r>
            <w:r w:rsidRPr="002226B0">
              <w:rPr>
                <w:rFonts w:eastAsia="Times New Roman" w:cstheme="minorHAnsi"/>
                <w:lang w:eastAsia="pl-PL"/>
              </w:rPr>
              <w:t>.</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14:paraId="295679CB" w14:textId="77777777" w:rsidR="00BE69CD" w:rsidRPr="002226B0" w:rsidRDefault="00BE69CD" w:rsidP="00D60DEF">
            <w:pPr>
              <w:spacing w:after="0" w:line="360" w:lineRule="auto"/>
              <w:rPr>
                <w:rFonts w:eastAsia="Times New Roman" w:cstheme="minorHAnsi"/>
                <w:lang w:eastAsia="pl-PL"/>
              </w:rPr>
            </w:pPr>
            <w:r w:rsidRPr="00711288">
              <w:rPr>
                <w:rFonts w:eastAsia="Times New Roman" w:cstheme="minorHAnsi"/>
                <w:lang w:eastAsia="pl-PL"/>
              </w:rPr>
              <w:t>Moduł musi udostępniać dokumentację zapisaną w repozytorium dokumentacji medycznej w systemie medycznym.</w:t>
            </w:r>
          </w:p>
        </w:tc>
      </w:tr>
      <w:tr w:rsidR="00BE69CD" w:rsidRPr="002226B0" w14:paraId="013E1D08" w14:textId="77777777" w:rsidTr="00D60DEF">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DCE6F1"/>
          </w:tcPr>
          <w:p w14:paraId="7922805C" w14:textId="77777777" w:rsidR="00BE69CD" w:rsidRPr="002226B0" w:rsidRDefault="00BE69CD" w:rsidP="00D60DEF">
            <w:pPr>
              <w:spacing w:after="0" w:line="360" w:lineRule="auto"/>
              <w:rPr>
                <w:rFonts w:eastAsia="Times New Roman" w:cstheme="minorHAnsi"/>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DCE6F1"/>
            <w:hideMark/>
          </w:tcPr>
          <w:p w14:paraId="3BA34295" w14:textId="77777777" w:rsidR="00BE69CD" w:rsidRPr="002226B0" w:rsidRDefault="00BE69CD" w:rsidP="00D60DEF">
            <w:pPr>
              <w:spacing w:after="0" w:line="360" w:lineRule="auto"/>
              <w:rPr>
                <w:rFonts w:eastAsia="Times New Roman" w:cstheme="minorHAnsi"/>
                <w:lang w:eastAsia="pl-PL"/>
              </w:rPr>
            </w:pPr>
            <w:r w:rsidRPr="002226B0">
              <w:rPr>
                <w:rFonts w:eastAsia="Times New Roman" w:cstheme="minorHAnsi"/>
                <w:lang w:eastAsia="pl-PL"/>
              </w:rPr>
              <w:t>E-WYWIAD</w:t>
            </w:r>
          </w:p>
        </w:tc>
      </w:tr>
      <w:tr w:rsidR="00BE69CD" w:rsidRPr="002226B0" w14:paraId="1B80114E" w14:textId="77777777" w:rsidTr="00D60DEF">
        <w:trPr>
          <w:trHeight w:val="300"/>
        </w:trPr>
        <w:tc>
          <w:tcPr>
            <w:tcW w:w="704" w:type="dxa"/>
            <w:tcBorders>
              <w:top w:val="single" w:sz="4" w:space="0" w:color="auto"/>
              <w:left w:val="single" w:sz="4" w:space="0" w:color="auto"/>
              <w:bottom w:val="single" w:sz="4" w:space="0" w:color="auto"/>
              <w:right w:val="single" w:sz="4" w:space="0" w:color="auto"/>
            </w:tcBorders>
          </w:tcPr>
          <w:p w14:paraId="46EC79A6" w14:textId="77777777" w:rsidR="00BE69CD" w:rsidRPr="002226B0" w:rsidRDefault="00BE69CD" w:rsidP="00D60DEF">
            <w:pPr>
              <w:spacing w:after="0" w:line="360" w:lineRule="auto"/>
              <w:rPr>
                <w:rFonts w:eastAsia="Times New Roman" w:cstheme="minorHAnsi"/>
                <w:lang w:eastAsia="pl-PL"/>
              </w:rPr>
            </w:pPr>
            <w:r>
              <w:rPr>
                <w:rFonts w:eastAsia="Times New Roman" w:cstheme="minorHAnsi"/>
                <w:lang w:eastAsia="pl-PL"/>
              </w:rPr>
              <w:t>4</w:t>
            </w:r>
            <w:r w:rsidRPr="002226B0">
              <w:rPr>
                <w:rFonts w:eastAsia="Times New Roman" w:cstheme="minorHAnsi"/>
                <w:lang w:eastAsia="pl-PL"/>
              </w:rPr>
              <w:t>.</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14:paraId="7903A28E" w14:textId="77777777" w:rsidR="00BE69CD" w:rsidRPr="002226B0" w:rsidRDefault="00BE69CD" w:rsidP="00D60DEF">
            <w:pPr>
              <w:spacing w:after="0" w:line="360" w:lineRule="auto"/>
              <w:rPr>
                <w:rFonts w:eastAsia="Times New Roman" w:cstheme="minorHAnsi"/>
                <w:lang w:eastAsia="pl-PL"/>
              </w:rPr>
            </w:pPr>
            <w:r w:rsidRPr="00711288">
              <w:rPr>
                <w:rFonts w:eastAsia="Times New Roman" w:cstheme="minorHAnsi"/>
                <w:lang w:eastAsia="pl-PL"/>
              </w:rPr>
              <w:t>E-usługa musi umożliwiać pacjentowi przekazanie lekarzowi przed wizytą istotnych informacji dotyczących swojego stanu zdrowia.</w:t>
            </w:r>
          </w:p>
        </w:tc>
      </w:tr>
      <w:tr w:rsidR="00BE69CD" w:rsidRPr="002226B0" w14:paraId="644331D3" w14:textId="77777777" w:rsidTr="00D60DEF">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B24B095" w14:textId="77777777" w:rsidR="00BE69CD" w:rsidRPr="002226B0" w:rsidRDefault="00BE69CD" w:rsidP="00D60DEF">
            <w:pPr>
              <w:spacing w:after="0" w:line="360" w:lineRule="auto"/>
              <w:rPr>
                <w:rFonts w:eastAsia="Times New Roman" w:cstheme="minorHAnsi"/>
                <w:lang w:eastAsia="pl-PL"/>
              </w:rPr>
            </w:pPr>
          </w:p>
        </w:tc>
        <w:tc>
          <w:tcPr>
            <w:tcW w:w="878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9971666" w14:textId="77777777" w:rsidR="00BE69CD" w:rsidRPr="002226B0" w:rsidRDefault="00BE69CD" w:rsidP="00D60DEF">
            <w:pPr>
              <w:spacing w:after="0" w:line="360" w:lineRule="auto"/>
              <w:rPr>
                <w:rFonts w:eastAsia="Times New Roman" w:cstheme="minorHAnsi"/>
                <w:lang w:eastAsia="pl-PL"/>
              </w:rPr>
            </w:pPr>
            <w:r w:rsidRPr="002226B0">
              <w:rPr>
                <w:rFonts w:eastAsia="Times New Roman" w:cstheme="minorHAnsi"/>
                <w:lang w:eastAsia="pl-PL"/>
              </w:rPr>
              <w:t>E-KONTRAHENT</w:t>
            </w:r>
          </w:p>
        </w:tc>
      </w:tr>
      <w:tr w:rsidR="00BE69CD" w:rsidRPr="002226B0" w14:paraId="7F4D95E5" w14:textId="77777777" w:rsidTr="00D60DEF">
        <w:trPr>
          <w:trHeight w:val="300"/>
        </w:trPr>
        <w:tc>
          <w:tcPr>
            <w:tcW w:w="704" w:type="dxa"/>
            <w:tcBorders>
              <w:top w:val="single" w:sz="4" w:space="0" w:color="auto"/>
              <w:left w:val="single" w:sz="4" w:space="0" w:color="auto"/>
              <w:bottom w:val="single" w:sz="4" w:space="0" w:color="auto"/>
              <w:right w:val="single" w:sz="4" w:space="0" w:color="auto"/>
            </w:tcBorders>
          </w:tcPr>
          <w:p w14:paraId="00DB65A4" w14:textId="77777777" w:rsidR="00BE69CD" w:rsidRPr="002226B0" w:rsidRDefault="00BE69CD" w:rsidP="00D60DEF">
            <w:pPr>
              <w:spacing w:after="0" w:line="360" w:lineRule="auto"/>
              <w:rPr>
                <w:rFonts w:eastAsia="Times New Roman" w:cstheme="minorHAnsi"/>
                <w:lang w:eastAsia="pl-PL"/>
              </w:rPr>
            </w:pPr>
            <w:r>
              <w:rPr>
                <w:rFonts w:eastAsia="Times New Roman" w:cstheme="minorHAnsi"/>
                <w:lang w:eastAsia="pl-PL"/>
              </w:rPr>
              <w:t>5</w:t>
            </w:r>
            <w:r w:rsidRPr="002226B0">
              <w:rPr>
                <w:rFonts w:eastAsia="Times New Roman" w:cstheme="minorHAnsi"/>
                <w:lang w:eastAsia="pl-PL"/>
              </w:rPr>
              <w:t>.</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14:paraId="7BD6ECF6" w14:textId="77777777" w:rsidR="00BE69CD" w:rsidRPr="002226B0" w:rsidRDefault="00BE69CD" w:rsidP="00D60DEF">
            <w:pPr>
              <w:spacing w:after="0" w:line="360" w:lineRule="auto"/>
              <w:rPr>
                <w:rFonts w:eastAsia="Times New Roman" w:cstheme="minorHAnsi"/>
                <w:lang w:eastAsia="pl-PL"/>
              </w:rPr>
            </w:pPr>
            <w:r w:rsidRPr="00D83D8D">
              <w:rPr>
                <w:rFonts w:eastAsia="Times New Roman" w:cstheme="minorHAnsi"/>
                <w:lang w:eastAsia="pl-PL"/>
              </w:rPr>
              <w:t>Moduł musi umożliwiać określenie zakresu usług możliwych do rezerwacji i zlecania przez danego kontrahenta.</w:t>
            </w:r>
          </w:p>
        </w:tc>
      </w:tr>
      <w:tr w:rsidR="00BE69CD" w:rsidRPr="002226B0" w14:paraId="12C4848D" w14:textId="77777777" w:rsidTr="00D60DEF">
        <w:trPr>
          <w:trHeight w:val="300"/>
        </w:trPr>
        <w:tc>
          <w:tcPr>
            <w:tcW w:w="704" w:type="dxa"/>
            <w:tcBorders>
              <w:top w:val="single" w:sz="4" w:space="0" w:color="auto"/>
              <w:left w:val="single" w:sz="4" w:space="0" w:color="auto"/>
              <w:bottom w:val="single" w:sz="4" w:space="0" w:color="auto"/>
              <w:right w:val="single" w:sz="4" w:space="0" w:color="auto"/>
            </w:tcBorders>
          </w:tcPr>
          <w:p w14:paraId="5E7C7996" w14:textId="77777777" w:rsidR="00BE69CD" w:rsidRPr="002226B0" w:rsidRDefault="00BE69CD" w:rsidP="00D60DEF">
            <w:pPr>
              <w:spacing w:after="0" w:line="360" w:lineRule="auto"/>
              <w:rPr>
                <w:rFonts w:eastAsia="Times New Roman" w:cstheme="minorHAnsi"/>
                <w:lang w:eastAsia="pl-PL"/>
              </w:rPr>
            </w:pPr>
            <w:r>
              <w:rPr>
                <w:rFonts w:eastAsia="Times New Roman" w:cstheme="minorHAnsi"/>
                <w:lang w:eastAsia="pl-PL"/>
              </w:rPr>
              <w:t>6</w:t>
            </w:r>
            <w:r w:rsidRPr="002226B0">
              <w:rPr>
                <w:rFonts w:eastAsia="Times New Roman" w:cstheme="minorHAnsi"/>
                <w:lang w:eastAsia="pl-PL"/>
              </w:rPr>
              <w:t>.</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68515205" w14:textId="77777777" w:rsidR="00BE69CD" w:rsidRPr="002226B0" w:rsidRDefault="00BE69CD" w:rsidP="00D60DEF">
            <w:pPr>
              <w:spacing w:after="0" w:line="360" w:lineRule="auto"/>
              <w:rPr>
                <w:rFonts w:eastAsia="Times New Roman" w:cstheme="minorHAnsi"/>
                <w:lang w:eastAsia="pl-PL"/>
              </w:rPr>
            </w:pPr>
            <w:r w:rsidRPr="00D83D8D">
              <w:rPr>
                <w:rFonts w:eastAsia="Times New Roman" w:cstheme="minorHAnsi"/>
                <w:lang w:eastAsia="pl-PL"/>
              </w:rPr>
              <w:t>Moduł musi umożliwiać kontrahentom rezerwacje wizyty, zlecanie badań i konsultacji zarówno dla pacjentów przypisanych do danego kontrahenta jak również dla innych pacjentów zapisanych w bazie systemu medycznego.</w:t>
            </w:r>
          </w:p>
        </w:tc>
      </w:tr>
      <w:tr w:rsidR="00BE69CD" w:rsidRPr="002226B0" w14:paraId="4D33F6E5" w14:textId="77777777" w:rsidTr="00D60DEF">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DCE6F1"/>
          </w:tcPr>
          <w:p w14:paraId="181DDCEF" w14:textId="77777777" w:rsidR="00BE69CD" w:rsidRPr="002226B0" w:rsidRDefault="00BE69CD" w:rsidP="00D60DEF">
            <w:pPr>
              <w:spacing w:after="0" w:line="360" w:lineRule="auto"/>
              <w:rPr>
                <w:rFonts w:eastAsia="Times New Roman" w:cstheme="minorHAnsi"/>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DCE6F1"/>
            <w:hideMark/>
          </w:tcPr>
          <w:p w14:paraId="4CB169C8" w14:textId="77777777" w:rsidR="00BE69CD" w:rsidRPr="002226B0" w:rsidRDefault="00BE69CD" w:rsidP="00D60DEF">
            <w:pPr>
              <w:spacing w:after="0" w:line="360" w:lineRule="auto"/>
              <w:rPr>
                <w:rFonts w:eastAsia="Times New Roman" w:cstheme="minorHAnsi"/>
                <w:lang w:eastAsia="pl-PL"/>
              </w:rPr>
            </w:pPr>
            <w:r w:rsidRPr="002226B0">
              <w:rPr>
                <w:rFonts w:eastAsia="Times New Roman" w:cstheme="minorHAnsi"/>
                <w:lang w:eastAsia="pl-PL"/>
              </w:rPr>
              <w:t>FINANSE – KSIĘGOWOŚĆ</w:t>
            </w:r>
          </w:p>
        </w:tc>
      </w:tr>
      <w:tr w:rsidR="00BE69CD" w:rsidRPr="002226B0" w14:paraId="48D6C775" w14:textId="77777777" w:rsidTr="00D60DEF">
        <w:trPr>
          <w:trHeight w:val="300"/>
        </w:trPr>
        <w:tc>
          <w:tcPr>
            <w:tcW w:w="704" w:type="dxa"/>
            <w:tcBorders>
              <w:top w:val="single" w:sz="4" w:space="0" w:color="auto"/>
              <w:left w:val="single" w:sz="4" w:space="0" w:color="auto"/>
              <w:bottom w:val="single" w:sz="4" w:space="0" w:color="auto"/>
              <w:right w:val="single" w:sz="4" w:space="0" w:color="auto"/>
            </w:tcBorders>
          </w:tcPr>
          <w:p w14:paraId="5D9395D7" w14:textId="77777777" w:rsidR="00BE69CD" w:rsidRPr="002226B0" w:rsidRDefault="00BE69CD" w:rsidP="00D60DEF">
            <w:pPr>
              <w:spacing w:after="0" w:line="360" w:lineRule="auto"/>
              <w:rPr>
                <w:rFonts w:eastAsia="Times New Roman" w:cstheme="minorHAnsi"/>
                <w:lang w:eastAsia="pl-PL"/>
              </w:rPr>
            </w:pPr>
            <w:r>
              <w:rPr>
                <w:rFonts w:eastAsia="Times New Roman" w:cstheme="minorHAnsi"/>
                <w:lang w:eastAsia="pl-PL"/>
              </w:rPr>
              <w:t>7</w:t>
            </w:r>
            <w:r w:rsidRPr="002226B0">
              <w:rPr>
                <w:rFonts w:eastAsia="Times New Roman" w:cstheme="minorHAnsi"/>
                <w:lang w:eastAsia="pl-PL"/>
              </w:rPr>
              <w:t>.</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14:paraId="01E85378" w14:textId="77777777" w:rsidR="00BE69CD" w:rsidRPr="002226B0" w:rsidRDefault="00BE69CD" w:rsidP="00D60DEF">
            <w:pPr>
              <w:spacing w:after="0" w:line="360" w:lineRule="auto"/>
              <w:rPr>
                <w:rFonts w:eastAsia="Times New Roman" w:cstheme="minorHAnsi"/>
                <w:lang w:eastAsia="pl-PL"/>
              </w:rPr>
            </w:pPr>
            <w:r w:rsidRPr="00764FE4">
              <w:rPr>
                <w:rFonts w:eastAsia="Times New Roman" w:cstheme="minorHAnsi"/>
                <w:lang w:eastAsia="pl-PL"/>
              </w:rPr>
              <w:t>Automatyczne kodowanie segmentów kont analitycznych na podstawie zdefiniowanych przez użytkownika grup analitycznych (katalog kontrahentów, pracowników, katalog ośrodków powstawania kosztów, rodzajów kosztów, stawek VAT i inne grupy analityczne).</w:t>
            </w:r>
          </w:p>
        </w:tc>
      </w:tr>
      <w:tr w:rsidR="00BE69CD" w:rsidRPr="002226B0" w14:paraId="62C4DAC8" w14:textId="77777777" w:rsidTr="00D60DEF">
        <w:trPr>
          <w:trHeight w:val="300"/>
        </w:trPr>
        <w:tc>
          <w:tcPr>
            <w:tcW w:w="704" w:type="dxa"/>
            <w:tcBorders>
              <w:top w:val="single" w:sz="4" w:space="0" w:color="auto"/>
              <w:left w:val="single" w:sz="4" w:space="0" w:color="auto"/>
              <w:bottom w:val="single" w:sz="4" w:space="0" w:color="auto"/>
              <w:right w:val="single" w:sz="4" w:space="0" w:color="auto"/>
            </w:tcBorders>
          </w:tcPr>
          <w:p w14:paraId="72AEBB6E" w14:textId="77777777" w:rsidR="00BE69CD" w:rsidRPr="002226B0" w:rsidRDefault="00BE69CD" w:rsidP="00D60DEF">
            <w:pPr>
              <w:spacing w:after="0" w:line="360" w:lineRule="auto"/>
              <w:rPr>
                <w:rFonts w:eastAsia="Times New Roman" w:cstheme="minorHAnsi"/>
                <w:lang w:eastAsia="pl-PL"/>
              </w:rPr>
            </w:pPr>
            <w:r>
              <w:rPr>
                <w:rFonts w:eastAsia="Times New Roman" w:cstheme="minorHAnsi"/>
                <w:lang w:eastAsia="pl-PL"/>
              </w:rPr>
              <w:t>8</w:t>
            </w:r>
            <w:r w:rsidRPr="002226B0">
              <w:rPr>
                <w:rFonts w:eastAsia="Times New Roman" w:cstheme="minorHAnsi"/>
                <w:lang w:eastAsia="pl-PL"/>
              </w:rPr>
              <w:t>.</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34595955" w14:textId="77777777" w:rsidR="00BE69CD" w:rsidRPr="002226B0" w:rsidRDefault="00BE69CD" w:rsidP="00D60DEF">
            <w:pPr>
              <w:spacing w:after="0" w:line="360" w:lineRule="auto"/>
              <w:rPr>
                <w:rFonts w:eastAsia="Times New Roman" w:cstheme="minorHAnsi"/>
                <w:lang w:eastAsia="pl-PL"/>
              </w:rPr>
            </w:pPr>
            <w:r w:rsidRPr="002226B0">
              <w:rPr>
                <w:rFonts w:eastAsia="Times New Roman" w:cstheme="minorHAnsi"/>
                <w:lang w:eastAsia="pl-PL"/>
              </w:rPr>
              <w:t>Tworzenie dokumentu na podstawie kopii wcześniej wybranego dokumentu</w:t>
            </w:r>
          </w:p>
        </w:tc>
      </w:tr>
      <w:tr w:rsidR="00BE69CD" w:rsidRPr="002226B0" w14:paraId="1B76C85F" w14:textId="77777777" w:rsidTr="00D60DEF">
        <w:trPr>
          <w:trHeight w:val="300"/>
        </w:trPr>
        <w:tc>
          <w:tcPr>
            <w:tcW w:w="704" w:type="dxa"/>
            <w:tcBorders>
              <w:top w:val="single" w:sz="4" w:space="0" w:color="auto"/>
              <w:left w:val="single" w:sz="4" w:space="0" w:color="auto"/>
              <w:bottom w:val="single" w:sz="4" w:space="0" w:color="auto"/>
              <w:right w:val="single" w:sz="4" w:space="0" w:color="auto"/>
            </w:tcBorders>
          </w:tcPr>
          <w:p w14:paraId="350A20BF" w14:textId="77777777" w:rsidR="00BE69CD" w:rsidRPr="002226B0" w:rsidRDefault="00BE69CD" w:rsidP="00D60DEF">
            <w:pPr>
              <w:spacing w:after="0" w:line="360" w:lineRule="auto"/>
              <w:rPr>
                <w:rFonts w:eastAsia="Times New Roman" w:cstheme="minorHAnsi"/>
                <w:lang w:eastAsia="pl-PL"/>
              </w:rPr>
            </w:pPr>
            <w:r>
              <w:rPr>
                <w:rFonts w:eastAsia="Times New Roman" w:cstheme="minorHAnsi"/>
                <w:lang w:eastAsia="pl-PL"/>
              </w:rPr>
              <w:lastRenderedPageBreak/>
              <w:t>9</w:t>
            </w:r>
            <w:r w:rsidRPr="002226B0">
              <w:rPr>
                <w:rFonts w:eastAsia="Times New Roman" w:cstheme="minorHAnsi"/>
                <w:lang w:eastAsia="pl-PL"/>
              </w:rPr>
              <w:t>.</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6096FD0D" w14:textId="77777777" w:rsidR="00BE69CD" w:rsidRPr="002226B0" w:rsidRDefault="00BE69CD" w:rsidP="00D60DEF">
            <w:pPr>
              <w:spacing w:after="0" w:line="360" w:lineRule="auto"/>
              <w:rPr>
                <w:rFonts w:eastAsia="Times New Roman" w:cstheme="minorHAnsi"/>
                <w:lang w:eastAsia="pl-PL"/>
              </w:rPr>
            </w:pPr>
            <w:r w:rsidRPr="00764FE4">
              <w:rPr>
                <w:rFonts w:eastAsia="Times New Roman" w:cstheme="minorHAnsi"/>
                <w:lang w:eastAsia="pl-PL"/>
              </w:rPr>
              <w:t>Tworzenie dokumentów związanych z międzyokresowymi rozliczeniami kosztów zgodnie ze zdefiniowanym sposobem rozdziału.</w:t>
            </w:r>
          </w:p>
        </w:tc>
      </w:tr>
      <w:tr w:rsidR="00BE69CD" w:rsidRPr="002226B0" w14:paraId="3ED9EA4F" w14:textId="77777777" w:rsidTr="00D60DEF">
        <w:trPr>
          <w:trHeight w:val="300"/>
        </w:trPr>
        <w:tc>
          <w:tcPr>
            <w:tcW w:w="704" w:type="dxa"/>
            <w:tcBorders>
              <w:top w:val="single" w:sz="4" w:space="0" w:color="auto"/>
              <w:left w:val="single" w:sz="4" w:space="0" w:color="auto"/>
              <w:bottom w:val="single" w:sz="4" w:space="0" w:color="auto"/>
              <w:right w:val="single" w:sz="4" w:space="0" w:color="auto"/>
            </w:tcBorders>
          </w:tcPr>
          <w:p w14:paraId="36F1A686" w14:textId="77777777" w:rsidR="00BE69CD" w:rsidRPr="002226B0" w:rsidRDefault="00BE69CD" w:rsidP="00D60DEF">
            <w:pPr>
              <w:spacing w:after="0" w:line="360" w:lineRule="auto"/>
              <w:rPr>
                <w:rFonts w:eastAsia="Times New Roman" w:cstheme="minorHAnsi"/>
                <w:lang w:eastAsia="pl-PL"/>
              </w:rPr>
            </w:pPr>
            <w:r>
              <w:rPr>
                <w:rFonts w:eastAsia="Times New Roman" w:cstheme="minorHAnsi"/>
                <w:lang w:eastAsia="pl-PL"/>
              </w:rPr>
              <w:t>10</w:t>
            </w:r>
            <w:r w:rsidRPr="002226B0">
              <w:rPr>
                <w:rFonts w:eastAsia="Times New Roman" w:cstheme="minorHAnsi"/>
                <w:lang w:eastAsia="pl-PL"/>
              </w:rPr>
              <w:t>.</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6F8E3D7D" w14:textId="77777777" w:rsidR="00BE69CD" w:rsidRPr="002226B0" w:rsidRDefault="00BE69CD" w:rsidP="00D60DEF">
            <w:pPr>
              <w:spacing w:after="0" w:line="360" w:lineRule="auto"/>
              <w:rPr>
                <w:rFonts w:eastAsia="Times New Roman" w:cstheme="minorHAnsi"/>
                <w:lang w:eastAsia="pl-PL"/>
              </w:rPr>
            </w:pPr>
            <w:r w:rsidRPr="00764FE4">
              <w:rPr>
                <w:rFonts w:eastAsia="Times New Roman" w:cstheme="minorHAnsi"/>
                <w:lang w:eastAsia="pl-PL"/>
              </w:rPr>
              <w:t>Określenie procentowej struktury sprzedaży opodatkowane i sprzedaży zwolnionej z VAT pozwalającej na wyznaczenie wysokości VAT  do odliczenia i niepodlegający odliczeniu.</w:t>
            </w:r>
          </w:p>
        </w:tc>
      </w:tr>
      <w:tr w:rsidR="00BE69CD" w:rsidRPr="002226B0" w14:paraId="7D5E93F7" w14:textId="77777777" w:rsidTr="00D60DEF">
        <w:trPr>
          <w:trHeight w:val="300"/>
        </w:trPr>
        <w:tc>
          <w:tcPr>
            <w:tcW w:w="704" w:type="dxa"/>
            <w:tcBorders>
              <w:top w:val="single" w:sz="4" w:space="0" w:color="auto"/>
              <w:left w:val="single" w:sz="4" w:space="0" w:color="auto"/>
              <w:bottom w:val="single" w:sz="4" w:space="0" w:color="auto"/>
              <w:right w:val="single" w:sz="4" w:space="0" w:color="auto"/>
            </w:tcBorders>
          </w:tcPr>
          <w:p w14:paraId="48FEA2F4" w14:textId="77777777" w:rsidR="00BE69CD" w:rsidRPr="002226B0" w:rsidRDefault="00BE69CD" w:rsidP="00D60DEF">
            <w:pPr>
              <w:spacing w:after="0" w:line="360" w:lineRule="auto"/>
              <w:rPr>
                <w:rFonts w:eastAsia="Times New Roman" w:cstheme="minorHAnsi"/>
                <w:lang w:eastAsia="pl-PL"/>
              </w:rPr>
            </w:pPr>
            <w:r>
              <w:rPr>
                <w:rFonts w:eastAsia="Times New Roman" w:cstheme="minorHAnsi"/>
                <w:lang w:eastAsia="pl-PL"/>
              </w:rPr>
              <w:t>11</w:t>
            </w:r>
            <w:r w:rsidRPr="002226B0">
              <w:rPr>
                <w:rFonts w:eastAsia="Times New Roman" w:cstheme="minorHAnsi"/>
                <w:lang w:eastAsia="pl-PL"/>
              </w:rPr>
              <w:t>.</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6BBE44B4" w14:textId="77777777" w:rsidR="00BE69CD" w:rsidRPr="002226B0" w:rsidRDefault="00BE69CD" w:rsidP="00D60DEF">
            <w:pPr>
              <w:spacing w:after="0" w:line="360" w:lineRule="auto"/>
              <w:rPr>
                <w:rFonts w:eastAsia="Times New Roman" w:cstheme="minorHAnsi"/>
                <w:lang w:eastAsia="pl-PL"/>
              </w:rPr>
            </w:pPr>
            <w:r w:rsidRPr="00764FE4">
              <w:rPr>
                <w:rFonts w:eastAsia="Times New Roman" w:cstheme="minorHAnsi"/>
                <w:lang w:eastAsia="pl-PL"/>
              </w:rPr>
              <w:t>Import wyciągów bankowych w formie elektronicznej poprzez system bankowości elektronicznej (w formacie MT940 lub XML).</w:t>
            </w:r>
          </w:p>
        </w:tc>
      </w:tr>
      <w:tr w:rsidR="00BE69CD" w:rsidRPr="002226B0" w14:paraId="7B4383FB" w14:textId="77777777" w:rsidTr="00D60DEF">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DCE6F1"/>
          </w:tcPr>
          <w:p w14:paraId="305F5E32" w14:textId="77777777" w:rsidR="00BE69CD" w:rsidRPr="002226B0" w:rsidRDefault="00BE69CD" w:rsidP="00D60DEF">
            <w:pPr>
              <w:spacing w:after="0" w:line="360" w:lineRule="auto"/>
              <w:rPr>
                <w:rFonts w:eastAsia="Times New Roman" w:cstheme="minorHAnsi"/>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DCE6F1"/>
            <w:hideMark/>
          </w:tcPr>
          <w:p w14:paraId="55AD7A8E" w14:textId="77777777" w:rsidR="00BE69CD" w:rsidRPr="002226B0" w:rsidRDefault="00BE69CD" w:rsidP="00D60DEF">
            <w:pPr>
              <w:spacing w:after="0" w:line="360" w:lineRule="auto"/>
              <w:rPr>
                <w:rFonts w:eastAsia="Times New Roman" w:cstheme="minorHAnsi"/>
                <w:lang w:eastAsia="pl-PL"/>
              </w:rPr>
            </w:pPr>
            <w:r w:rsidRPr="002226B0">
              <w:rPr>
                <w:rFonts w:eastAsia="Times New Roman" w:cstheme="minorHAnsi"/>
                <w:lang w:eastAsia="pl-PL"/>
              </w:rPr>
              <w:t>ŚRODKI TRWAŁE</w:t>
            </w:r>
          </w:p>
        </w:tc>
      </w:tr>
      <w:tr w:rsidR="00BE69CD" w:rsidRPr="002226B0" w14:paraId="100EF323" w14:textId="77777777" w:rsidTr="00D60DEF">
        <w:trPr>
          <w:trHeight w:val="300"/>
        </w:trPr>
        <w:tc>
          <w:tcPr>
            <w:tcW w:w="704" w:type="dxa"/>
            <w:tcBorders>
              <w:top w:val="single" w:sz="4" w:space="0" w:color="auto"/>
              <w:left w:val="single" w:sz="4" w:space="0" w:color="auto"/>
              <w:bottom w:val="single" w:sz="4" w:space="0" w:color="auto"/>
              <w:right w:val="single" w:sz="4" w:space="0" w:color="auto"/>
            </w:tcBorders>
          </w:tcPr>
          <w:p w14:paraId="682B31B0" w14:textId="77777777" w:rsidR="00BE69CD" w:rsidRPr="002226B0" w:rsidRDefault="00BE69CD" w:rsidP="00D60DEF">
            <w:pPr>
              <w:spacing w:after="0" w:line="360" w:lineRule="auto"/>
              <w:rPr>
                <w:rFonts w:eastAsia="Times New Roman" w:cstheme="minorHAnsi"/>
                <w:lang w:eastAsia="pl-PL"/>
              </w:rPr>
            </w:pPr>
            <w:r>
              <w:rPr>
                <w:rFonts w:eastAsia="Times New Roman" w:cstheme="minorHAnsi"/>
                <w:lang w:eastAsia="pl-PL"/>
              </w:rPr>
              <w:t>12</w:t>
            </w:r>
            <w:r w:rsidRPr="002226B0">
              <w:rPr>
                <w:rFonts w:eastAsia="Times New Roman" w:cstheme="minorHAnsi"/>
                <w:lang w:eastAsia="pl-PL"/>
              </w:rPr>
              <w:t>.</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14:paraId="5C1E105E" w14:textId="77777777" w:rsidR="00BE69CD" w:rsidRPr="00764FE4" w:rsidRDefault="00BE69CD" w:rsidP="00D60DEF">
            <w:pPr>
              <w:spacing w:after="0" w:line="360" w:lineRule="auto"/>
              <w:rPr>
                <w:rFonts w:eastAsia="Times New Roman" w:cstheme="minorHAnsi"/>
                <w:lang w:eastAsia="pl-PL"/>
              </w:rPr>
            </w:pPr>
            <w:r w:rsidRPr="00764FE4">
              <w:rPr>
                <w:rFonts w:eastAsia="Times New Roman" w:cstheme="minorHAnsi"/>
                <w:lang w:eastAsia="pl-PL"/>
              </w:rPr>
              <w:t>Prowadzenie kartoteki środków trwałych. Opis środka zawiera następujące informacje:</w:t>
            </w:r>
          </w:p>
          <w:p w14:paraId="0866C16A" w14:textId="77777777" w:rsidR="00BE69CD" w:rsidRPr="00764FE4" w:rsidRDefault="00BE69CD" w:rsidP="00D60DEF">
            <w:pPr>
              <w:spacing w:after="0" w:line="360" w:lineRule="auto"/>
              <w:rPr>
                <w:rFonts w:eastAsia="Times New Roman" w:cstheme="minorHAnsi"/>
                <w:lang w:eastAsia="pl-PL"/>
              </w:rPr>
            </w:pPr>
            <w:r w:rsidRPr="00764FE4">
              <w:rPr>
                <w:rFonts w:eastAsia="Times New Roman" w:cstheme="minorHAnsi"/>
                <w:lang w:eastAsia="pl-PL"/>
              </w:rPr>
              <w:t>1)</w:t>
            </w:r>
            <w:r w:rsidRPr="00764FE4">
              <w:rPr>
                <w:rFonts w:eastAsia="Times New Roman" w:cstheme="minorHAnsi"/>
                <w:lang w:eastAsia="pl-PL"/>
              </w:rPr>
              <w:tab/>
              <w:t>wartość środka trwałego z podziałem na źródła finansowania</w:t>
            </w:r>
          </w:p>
          <w:p w14:paraId="6916BC1F" w14:textId="77777777" w:rsidR="00BE69CD" w:rsidRPr="00764FE4" w:rsidRDefault="00BE69CD" w:rsidP="00D60DEF">
            <w:pPr>
              <w:spacing w:after="0" w:line="360" w:lineRule="auto"/>
              <w:rPr>
                <w:rFonts w:eastAsia="Times New Roman" w:cstheme="minorHAnsi"/>
                <w:lang w:eastAsia="pl-PL"/>
              </w:rPr>
            </w:pPr>
            <w:r w:rsidRPr="00764FE4">
              <w:rPr>
                <w:rFonts w:eastAsia="Times New Roman" w:cstheme="minorHAnsi"/>
                <w:lang w:eastAsia="pl-PL"/>
              </w:rPr>
              <w:t>2)</w:t>
            </w:r>
            <w:r w:rsidRPr="00764FE4">
              <w:rPr>
                <w:rFonts w:eastAsia="Times New Roman" w:cstheme="minorHAnsi"/>
                <w:lang w:eastAsia="pl-PL"/>
              </w:rPr>
              <w:tab/>
              <w:t>numer inwentarzowy,</w:t>
            </w:r>
          </w:p>
          <w:p w14:paraId="283BEF71" w14:textId="77777777" w:rsidR="00BE69CD" w:rsidRPr="00764FE4" w:rsidRDefault="00BE69CD" w:rsidP="00D60DEF">
            <w:pPr>
              <w:spacing w:after="0" w:line="360" w:lineRule="auto"/>
              <w:rPr>
                <w:rFonts w:eastAsia="Times New Roman" w:cstheme="minorHAnsi"/>
                <w:lang w:eastAsia="pl-PL"/>
              </w:rPr>
            </w:pPr>
            <w:r w:rsidRPr="00764FE4">
              <w:rPr>
                <w:rFonts w:eastAsia="Times New Roman" w:cstheme="minorHAnsi"/>
                <w:lang w:eastAsia="pl-PL"/>
              </w:rPr>
              <w:t>3)</w:t>
            </w:r>
            <w:r w:rsidRPr="00764FE4">
              <w:rPr>
                <w:rFonts w:eastAsia="Times New Roman" w:cstheme="minorHAnsi"/>
                <w:lang w:eastAsia="pl-PL"/>
              </w:rPr>
              <w:tab/>
              <w:t xml:space="preserve">nazwa środka, </w:t>
            </w:r>
          </w:p>
          <w:p w14:paraId="1E5D9766" w14:textId="77777777" w:rsidR="00BE69CD" w:rsidRPr="00764FE4" w:rsidRDefault="00BE69CD" w:rsidP="00D60DEF">
            <w:pPr>
              <w:spacing w:after="0" w:line="360" w:lineRule="auto"/>
              <w:rPr>
                <w:rFonts w:eastAsia="Times New Roman" w:cstheme="minorHAnsi"/>
                <w:lang w:eastAsia="pl-PL"/>
              </w:rPr>
            </w:pPr>
            <w:r w:rsidRPr="00764FE4">
              <w:rPr>
                <w:rFonts w:eastAsia="Times New Roman" w:cstheme="minorHAnsi"/>
                <w:lang w:eastAsia="pl-PL"/>
              </w:rPr>
              <w:t>4)</w:t>
            </w:r>
            <w:r w:rsidRPr="00764FE4">
              <w:rPr>
                <w:rFonts w:eastAsia="Times New Roman" w:cstheme="minorHAnsi"/>
                <w:lang w:eastAsia="pl-PL"/>
              </w:rPr>
              <w:tab/>
              <w:t>grupa rodzajowa zgodna z Klasyfikacją Rodzajową Środków Trwałych ,</w:t>
            </w:r>
          </w:p>
          <w:p w14:paraId="0785D343" w14:textId="77777777" w:rsidR="00BE69CD" w:rsidRPr="00764FE4" w:rsidRDefault="00BE69CD" w:rsidP="00D60DEF">
            <w:pPr>
              <w:spacing w:after="0" w:line="360" w:lineRule="auto"/>
              <w:rPr>
                <w:rFonts w:eastAsia="Times New Roman" w:cstheme="minorHAnsi"/>
                <w:lang w:eastAsia="pl-PL"/>
              </w:rPr>
            </w:pPr>
            <w:r w:rsidRPr="00764FE4">
              <w:rPr>
                <w:rFonts w:eastAsia="Times New Roman" w:cstheme="minorHAnsi"/>
                <w:lang w:eastAsia="pl-PL"/>
              </w:rPr>
              <w:t>5)</w:t>
            </w:r>
            <w:r w:rsidRPr="00764FE4">
              <w:rPr>
                <w:rFonts w:eastAsia="Times New Roman" w:cstheme="minorHAnsi"/>
                <w:lang w:eastAsia="pl-PL"/>
              </w:rPr>
              <w:tab/>
              <w:t xml:space="preserve">data produkcji, </w:t>
            </w:r>
          </w:p>
          <w:p w14:paraId="34067573" w14:textId="77777777" w:rsidR="00BE69CD" w:rsidRPr="00764FE4" w:rsidRDefault="00BE69CD" w:rsidP="00D60DEF">
            <w:pPr>
              <w:spacing w:after="0" w:line="360" w:lineRule="auto"/>
              <w:rPr>
                <w:rFonts w:eastAsia="Times New Roman" w:cstheme="minorHAnsi"/>
                <w:lang w:eastAsia="pl-PL"/>
              </w:rPr>
            </w:pPr>
            <w:r w:rsidRPr="00764FE4">
              <w:rPr>
                <w:rFonts w:eastAsia="Times New Roman" w:cstheme="minorHAnsi"/>
                <w:lang w:eastAsia="pl-PL"/>
              </w:rPr>
              <w:t>6)</w:t>
            </w:r>
            <w:r w:rsidRPr="00764FE4">
              <w:rPr>
                <w:rFonts w:eastAsia="Times New Roman" w:cstheme="minorHAnsi"/>
                <w:lang w:eastAsia="pl-PL"/>
              </w:rPr>
              <w:tab/>
              <w:t>data przyjęcia do użytkowania ,</w:t>
            </w:r>
          </w:p>
          <w:p w14:paraId="76D49AE2" w14:textId="77777777" w:rsidR="00BE69CD" w:rsidRPr="00764FE4" w:rsidRDefault="00BE69CD" w:rsidP="00D60DEF">
            <w:pPr>
              <w:spacing w:after="0" w:line="360" w:lineRule="auto"/>
              <w:rPr>
                <w:rFonts w:eastAsia="Times New Roman" w:cstheme="minorHAnsi"/>
                <w:lang w:eastAsia="pl-PL"/>
              </w:rPr>
            </w:pPr>
            <w:r w:rsidRPr="00764FE4">
              <w:rPr>
                <w:rFonts w:eastAsia="Times New Roman" w:cstheme="minorHAnsi"/>
                <w:lang w:eastAsia="pl-PL"/>
              </w:rPr>
              <w:t>7)</w:t>
            </w:r>
            <w:r w:rsidRPr="00764FE4">
              <w:rPr>
                <w:rFonts w:eastAsia="Times New Roman" w:cstheme="minorHAnsi"/>
                <w:lang w:eastAsia="pl-PL"/>
              </w:rPr>
              <w:tab/>
              <w:t xml:space="preserve">stawka amortyzacyjna, sposób amortyzacji, </w:t>
            </w:r>
          </w:p>
          <w:p w14:paraId="5546D5B3" w14:textId="77777777" w:rsidR="00BE69CD" w:rsidRPr="00764FE4" w:rsidRDefault="00BE69CD" w:rsidP="00D60DEF">
            <w:pPr>
              <w:spacing w:after="0" w:line="360" w:lineRule="auto"/>
              <w:rPr>
                <w:rFonts w:eastAsia="Times New Roman" w:cstheme="minorHAnsi"/>
                <w:lang w:eastAsia="pl-PL"/>
              </w:rPr>
            </w:pPr>
            <w:r w:rsidRPr="00764FE4">
              <w:rPr>
                <w:rFonts w:eastAsia="Times New Roman" w:cstheme="minorHAnsi"/>
                <w:lang w:eastAsia="pl-PL"/>
              </w:rPr>
              <w:t>8)</w:t>
            </w:r>
            <w:r w:rsidRPr="00764FE4">
              <w:rPr>
                <w:rFonts w:eastAsia="Times New Roman" w:cstheme="minorHAnsi"/>
                <w:lang w:eastAsia="pl-PL"/>
              </w:rPr>
              <w:tab/>
              <w:t>aktualna wartość brutto i netto, podatkowa i niepodatkowa,</w:t>
            </w:r>
          </w:p>
          <w:p w14:paraId="198108C6" w14:textId="77777777" w:rsidR="00BE69CD" w:rsidRPr="00764FE4" w:rsidRDefault="00BE69CD" w:rsidP="00D60DEF">
            <w:pPr>
              <w:spacing w:after="0" w:line="360" w:lineRule="auto"/>
              <w:rPr>
                <w:rFonts w:eastAsia="Times New Roman" w:cstheme="minorHAnsi"/>
                <w:lang w:eastAsia="pl-PL"/>
              </w:rPr>
            </w:pPr>
            <w:r w:rsidRPr="00764FE4">
              <w:rPr>
                <w:rFonts w:eastAsia="Times New Roman" w:cstheme="minorHAnsi"/>
                <w:lang w:eastAsia="pl-PL"/>
              </w:rPr>
              <w:t>9)</w:t>
            </w:r>
            <w:r w:rsidRPr="00764FE4">
              <w:rPr>
                <w:rFonts w:eastAsia="Times New Roman" w:cstheme="minorHAnsi"/>
                <w:lang w:eastAsia="pl-PL"/>
              </w:rPr>
              <w:tab/>
              <w:t>aktualna wartość umorzeń  podatkowych i niepodatkowych,</w:t>
            </w:r>
          </w:p>
          <w:p w14:paraId="063A581E" w14:textId="77777777" w:rsidR="00BE69CD" w:rsidRPr="00764FE4" w:rsidRDefault="00BE69CD" w:rsidP="00D60DEF">
            <w:pPr>
              <w:spacing w:after="0" w:line="360" w:lineRule="auto"/>
              <w:rPr>
                <w:rFonts w:eastAsia="Times New Roman" w:cstheme="minorHAnsi"/>
                <w:lang w:eastAsia="pl-PL"/>
              </w:rPr>
            </w:pPr>
            <w:r w:rsidRPr="00764FE4">
              <w:rPr>
                <w:rFonts w:eastAsia="Times New Roman" w:cstheme="minorHAnsi"/>
                <w:lang w:eastAsia="pl-PL"/>
              </w:rPr>
              <w:t>10)</w:t>
            </w:r>
            <w:r w:rsidRPr="00764FE4">
              <w:rPr>
                <w:rFonts w:eastAsia="Times New Roman" w:cstheme="minorHAnsi"/>
                <w:lang w:eastAsia="pl-PL"/>
              </w:rPr>
              <w:tab/>
              <w:t xml:space="preserve">konta księgowe z podziałem na skup i </w:t>
            </w:r>
            <w:proofErr w:type="spellStart"/>
            <w:r w:rsidRPr="00764FE4">
              <w:rPr>
                <w:rFonts w:eastAsia="Times New Roman" w:cstheme="minorHAnsi"/>
                <w:lang w:eastAsia="pl-PL"/>
              </w:rPr>
              <w:t>nkup</w:t>
            </w:r>
            <w:proofErr w:type="spellEnd"/>
            <w:r w:rsidRPr="00764FE4">
              <w:rPr>
                <w:rFonts w:eastAsia="Times New Roman" w:cstheme="minorHAnsi"/>
                <w:lang w:eastAsia="pl-PL"/>
              </w:rPr>
              <w:t xml:space="preserve">, miejsce powstawania kosztów, </w:t>
            </w:r>
          </w:p>
          <w:p w14:paraId="0753359E" w14:textId="77777777" w:rsidR="00BE69CD" w:rsidRPr="00764FE4" w:rsidRDefault="00BE69CD" w:rsidP="00D60DEF">
            <w:pPr>
              <w:spacing w:after="0" w:line="360" w:lineRule="auto"/>
              <w:rPr>
                <w:rFonts w:eastAsia="Times New Roman" w:cstheme="minorHAnsi"/>
                <w:lang w:eastAsia="pl-PL"/>
              </w:rPr>
            </w:pPr>
            <w:r w:rsidRPr="00764FE4">
              <w:rPr>
                <w:rFonts w:eastAsia="Times New Roman" w:cstheme="minorHAnsi"/>
                <w:lang w:eastAsia="pl-PL"/>
              </w:rPr>
              <w:t>11)</w:t>
            </w:r>
            <w:r w:rsidRPr="00764FE4">
              <w:rPr>
                <w:rFonts w:eastAsia="Times New Roman" w:cstheme="minorHAnsi"/>
                <w:lang w:eastAsia="pl-PL"/>
              </w:rPr>
              <w:tab/>
              <w:t xml:space="preserve">miejsce użytkowanie, </w:t>
            </w:r>
          </w:p>
          <w:p w14:paraId="1E3CA326" w14:textId="77777777" w:rsidR="00BE69CD" w:rsidRPr="00764FE4" w:rsidRDefault="00BE69CD" w:rsidP="00D60DEF">
            <w:pPr>
              <w:spacing w:after="0" w:line="360" w:lineRule="auto"/>
              <w:rPr>
                <w:rFonts w:eastAsia="Times New Roman" w:cstheme="minorHAnsi"/>
                <w:lang w:eastAsia="pl-PL"/>
              </w:rPr>
            </w:pPr>
            <w:r w:rsidRPr="00764FE4">
              <w:rPr>
                <w:rFonts w:eastAsia="Times New Roman" w:cstheme="minorHAnsi"/>
                <w:lang w:eastAsia="pl-PL"/>
              </w:rPr>
              <w:t>12)</w:t>
            </w:r>
            <w:r w:rsidRPr="00764FE4">
              <w:rPr>
                <w:rFonts w:eastAsia="Times New Roman" w:cstheme="minorHAnsi"/>
                <w:lang w:eastAsia="pl-PL"/>
              </w:rPr>
              <w:tab/>
              <w:t xml:space="preserve">kategoria, </w:t>
            </w:r>
          </w:p>
          <w:p w14:paraId="174BBDDA" w14:textId="77777777" w:rsidR="00BE69CD" w:rsidRPr="00764FE4" w:rsidRDefault="00BE69CD" w:rsidP="00D60DEF">
            <w:pPr>
              <w:spacing w:after="0" w:line="360" w:lineRule="auto"/>
              <w:rPr>
                <w:rFonts w:eastAsia="Times New Roman" w:cstheme="minorHAnsi"/>
                <w:lang w:eastAsia="pl-PL"/>
              </w:rPr>
            </w:pPr>
            <w:r w:rsidRPr="00764FE4">
              <w:rPr>
                <w:rFonts w:eastAsia="Times New Roman" w:cstheme="minorHAnsi"/>
                <w:lang w:eastAsia="pl-PL"/>
              </w:rPr>
              <w:t>13)</w:t>
            </w:r>
            <w:r w:rsidRPr="00764FE4">
              <w:rPr>
                <w:rFonts w:eastAsia="Times New Roman" w:cstheme="minorHAnsi"/>
                <w:lang w:eastAsia="pl-PL"/>
              </w:rPr>
              <w:tab/>
              <w:t xml:space="preserve">osoba odpowiedzialna, </w:t>
            </w:r>
          </w:p>
          <w:p w14:paraId="4FBF0DE4" w14:textId="77777777" w:rsidR="00BE69CD" w:rsidRPr="00764FE4" w:rsidRDefault="00BE69CD" w:rsidP="00D60DEF">
            <w:pPr>
              <w:spacing w:after="0" w:line="360" w:lineRule="auto"/>
              <w:rPr>
                <w:rFonts w:eastAsia="Times New Roman" w:cstheme="minorHAnsi"/>
                <w:lang w:eastAsia="pl-PL"/>
              </w:rPr>
            </w:pPr>
            <w:r w:rsidRPr="00764FE4">
              <w:rPr>
                <w:rFonts w:eastAsia="Times New Roman" w:cstheme="minorHAnsi"/>
                <w:lang w:eastAsia="pl-PL"/>
              </w:rPr>
              <w:t>14)</w:t>
            </w:r>
            <w:r w:rsidRPr="00764FE4">
              <w:rPr>
                <w:rFonts w:eastAsia="Times New Roman" w:cstheme="minorHAnsi"/>
                <w:lang w:eastAsia="pl-PL"/>
              </w:rPr>
              <w:tab/>
              <w:t xml:space="preserve">okres, w którym zostaje zawieszone naliczanie amortyzacji dla środka, </w:t>
            </w:r>
          </w:p>
          <w:p w14:paraId="6F84B86B" w14:textId="77777777" w:rsidR="00BE69CD" w:rsidRPr="00764FE4" w:rsidRDefault="00BE69CD" w:rsidP="00D60DEF">
            <w:pPr>
              <w:spacing w:after="0" w:line="360" w:lineRule="auto"/>
              <w:rPr>
                <w:rFonts w:eastAsia="Times New Roman" w:cstheme="minorHAnsi"/>
                <w:lang w:eastAsia="pl-PL"/>
              </w:rPr>
            </w:pPr>
            <w:r w:rsidRPr="00764FE4">
              <w:rPr>
                <w:rFonts w:eastAsia="Times New Roman" w:cstheme="minorHAnsi"/>
                <w:lang w:eastAsia="pl-PL"/>
              </w:rPr>
              <w:t>15)</w:t>
            </w:r>
            <w:r w:rsidRPr="00764FE4">
              <w:rPr>
                <w:rFonts w:eastAsia="Times New Roman" w:cstheme="minorHAnsi"/>
                <w:lang w:eastAsia="pl-PL"/>
              </w:rPr>
              <w:tab/>
              <w:t xml:space="preserve">przyczyna zawieszenia naliczania amortyzacji, </w:t>
            </w:r>
          </w:p>
          <w:p w14:paraId="51A3E3D8" w14:textId="77777777" w:rsidR="00BE69CD" w:rsidRPr="00764FE4" w:rsidRDefault="00BE69CD" w:rsidP="00D60DEF">
            <w:pPr>
              <w:spacing w:after="0" w:line="360" w:lineRule="auto"/>
              <w:rPr>
                <w:rFonts w:eastAsia="Times New Roman" w:cstheme="minorHAnsi"/>
                <w:lang w:eastAsia="pl-PL"/>
              </w:rPr>
            </w:pPr>
            <w:r w:rsidRPr="00764FE4">
              <w:rPr>
                <w:rFonts w:eastAsia="Times New Roman" w:cstheme="minorHAnsi"/>
                <w:lang w:eastAsia="pl-PL"/>
              </w:rPr>
              <w:t>16)</w:t>
            </w:r>
            <w:r w:rsidRPr="00764FE4">
              <w:rPr>
                <w:rFonts w:eastAsia="Times New Roman" w:cstheme="minorHAnsi"/>
                <w:lang w:eastAsia="pl-PL"/>
              </w:rPr>
              <w:tab/>
              <w:t xml:space="preserve">okres, w którym środek podlega uldze inwestycyjnej, </w:t>
            </w:r>
          </w:p>
          <w:p w14:paraId="1768C2CB" w14:textId="77777777" w:rsidR="00BE69CD" w:rsidRPr="00764FE4" w:rsidRDefault="00BE69CD" w:rsidP="00D60DEF">
            <w:pPr>
              <w:spacing w:after="0" w:line="360" w:lineRule="auto"/>
              <w:rPr>
                <w:rFonts w:eastAsia="Times New Roman" w:cstheme="minorHAnsi"/>
                <w:lang w:eastAsia="pl-PL"/>
              </w:rPr>
            </w:pPr>
            <w:r w:rsidRPr="00764FE4">
              <w:rPr>
                <w:rFonts w:eastAsia="Times New Roman" w:cstheme="minorHAnsi"/>
                <w:lang w:eastAsia="pl-PL"/>
              </w:rPr>
              <w:t>17)</w:t>
            </w:r>
            <w:r w:rsidRPr="00764FE4">
              <w:rPr>
                <w:rFonts w:eastAsia="Times New Roman" w:cstheme="minorHAnsi"/>
                <w:lang w:eastAsia="pl-PL"/>
              </w:rPr>
              <w:tab/>
              <w:t xml:space="preserve">data całkowitego umorzenia środka, </w:t>
            </w:r>
          </w:p>
          <w:p w14:paraId="290599C0" w14:textId="77777777" w:rsidR="00BE69CD" w:rsidRPr="00764FE4" w:rsidRDefault="00BE69CD" w:rsidP="00D60DEF">
            <w:pPr>
              <w:spacing w:after="0" w:line="360" w:lineRule="auto"/>
              <w:rPr>
                <w:rFonts w:eastAsia="Times New Roman" w:cstheme="minorHAnsi"/>
                <w:lang w:eastAsia="pl-PL"/>
              </w:rPr>
            </w:pPr>
            <w:r w:rsidRPr="00764FE4">
              <w:rPr>
                <w:rFonts w:eastAsia="Times New Roman" w:cstheme="minorHAnsi"/>
                <w:lang w:eastAsia="pl-PL"/>
              </w:rPr>
              <w:t>18)</w:t>
            </w:r>
            <w:r w:rsidRPr="00764FE4">
              <w:rPr>
                <w:rFonts w:eastAsia="Times New Roman" w:cstheme="minorHAnsi"/>
                <w:lang w:eastAsia="pl-PL"/>
              </w:rPr>
              <w:tab/>
              <w:t>opis techniczny np.: numer fabryczny, numer silnika, numer nadwozia, termin następnego przeglądu , numer rejestracyjny,</w:t>
            </w:r>
          </w:p>
          <w:p w14:paraId="56E81079" w14:textId="77777777" w:rsidR="00BE69CD" w:rsidRPr="00764FE4" w:rsidRDefault="00BE69CD" w:rsidP="00D60DEF">
            <w:pPr>
              <w:spacing w:after="0" w:line="360" w:lineRule="auto"/>
              <w:rPr>
                <w:rFonts w:eastAsia="Times New Roman" w:cstheme="minorHAnsi"/>
                <w:lang w:eastAsia="pl-PL"/>
              </w:rPr>
            </w:pPr>
            <w:r w:rsidRPr="00764FE4">
              <w:rPr>
                <w:rFonts w:eastAsia="Times New Roman" w:cstheme="minorHAnsi"/>
                <w:lang w:eastAsia="pl-PL"/>
              </w:rPr>
              <w:t>19)</w:t>
            </w:r>
            <w:r w:rsidRPr="00764FE4">
              <w:rPr>
                <w:rFonts w:eastAsia="Times New Roman" w:cstheme="minorHAnsi"/>
                <w:lang w:eastAsia="pl-PL"/>
              </w:rPr>
              <w:tab/>
              <w:t>dane o zakupie: numer i data wystawienia faktury zakupowej, data zapłaty za fakturę, wartość netto i brutto faktury, nazwa dostawcy,</w:t>
            </w:r>
          </w:p>
          <w:p w14:paraId="1FCCD4DD" w14:textId="77777777" w:rsidR="00BE69CD" w:rsidRPr="002226B0" w:rsidRDefault="00BE69CD" w:rsidP="00D60DEF">
            <w:pPr>
              <w:spacing w:after="0" w:line="360" w:lineRule="auto"/>
              <w:rPr>
                <w:rFonts w:eastAsia="Times New Roman" w:cstheme="minorHAnsi"/>
                <w:lang w:eastAsia="pl-PL"/>
              </w:rPr>
            </w:pPr>
            <w:r w:rsidRPr="00764FE4">
              <w:rPr>
                <w:rFonts w:eastAsia="Times New Roman" w:cstheme="minorHAnsi"/>
                <w:lang w:eastAsia="pl-PL"/>
              </w:rPr>
              <w:t>20)</w:t>
            </w:r>
            <w:r w:rsidRPr="00764FE4">
              <w:rPr>
                <w:rFonts w:eastAsia="Times New Roman" w:cstheme="minorHAnsi"/>
                <w:lang w:eastAsia="pl-PL"/>
              </w:rPr>
              <w:tab/>
              <w:t>ubezpieczenie: numer polisy ubezpieczeniowej, kwota polisy, termin zapłaty ubezpieczenia.</w:t>
            </w:r>
          </w:p>
        </w:tc>
      </w:tr>
      <w:tr w:rsidR="00BE69CD" w:rsidRPr="002226B0" w14:paraId="1E0B8FE5" w14:textId="77777777" w:rsidTr="00D60DEF">
        <w:trPr>
          <w:trHeight w:val="300"/>
        </w:trPr>
        <w:tc>
          <w:tcPr>
            <w:tcW w:w="704" w:type="dxa"/>
            <w:tcBorders>
              <w:top w:val="single" w:sz="4" w:space="0" w:color="auto"/>
              <w:left w:val="single" w:sz="4" w:space="0" w:color="auto"/>
              <w:bottom w:val="single" w:sz="4" w:space="0" w:color="auto"/>
              <w:right w:val="single" w:sz="4" w:space="0" w:color="auto"/>
            </w:tcBorders>
          </w:tcPr>
          <w:p w14:paraId="289238D1" w14:textId="77777777" w:rsidR="00BE69CD" w:rsidRPr="002226B0" w:rsidRDefault="00BE69CD" w:rsidP="00D60DEF">
            <w:pPr>
              <w:spacing w:after="0" w:line="360" w:lineRule="auto"/>
              <w:rPr>
                <w:rFonts w:eastAsia="Times New Roman" w:cstheme="minorHAnsi"/>
                <w:lang w:eastAsia="pl-PL"/>
              </w:rPr>
            </w:pPr>
            <w:r>
              <w:rPr>
                <w:rFonts w:eastAsia="Times New Roman" w:cstheme="minorHAnsi"/>
                <w:lang w:eastAsia="pl-PL"/>
              </w:rPr>
              <w:t>13</w:t>
            </w:r>
            <w:r w:rsidRPr="002226B0">
              <w:rPr>
                <w:rFonts w:eastAsia="Times New Roman" w:cstheme="minorHAnsi"/>
                <w:lang w:eastAsia="pl-PL"/>
              </w:rPr>
              <w:t>.</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0C9A7F1F" w14:textId="77777777" w:rsidR="00BE69CD" w:rsidRPr="002226B0" w:rsidRDefault="00BE69CD" w:rsidP="00D60DEF">
            <w:pPr>
              <w:spacing w:after="0" w:line="360" w:lineRule="auto"/>
              <w:rPr>
                <w:rFonts w:eastAsia="Times New Roman" w:cstheme="minorHAnsi"/>
                <w:lang w:eastAsia="pl-PL"/>
              </w:rPr>
            </w:pPr>
            <w:r w:rsidRPr="00764FE4">
              <w:rPr>
                <w:rFonts w:eastAsia="Times New Roman" w:cstheme="minorHAnsi"/>
                <w:lang w:eastAsia="pl-PL"/>
              </w:rPr>
              <w:t>Wymiana danych z innymi programami (Finansowo-Księgowym, Gospodarka Materiałowa).</w:t>
            </w:r>
          </w:p>
        </w:tc>
      </w:tr>
      <w:tr w:rsidR="00BE69CD" w:rsidRPr="002226B0" w14:paraId="350994D6" w14:textId="77777777" w:rsidTr="00D60DEF">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DCE6F1"/>
          </w:tcPr>
          <w:p w14:paraId="3C9C108B" w14:textId="77777777" w:rsidR="00BE69CD" w:rsidRPr="002226B0" w:rsidRDefault="00BE69CD" w:rsidP="00D60DEF">
            <w:pPr>
              <w:spacing w:after="0" w:line="360" w:lineRule="auto"/>
              <w:rPr>
                <w:rFonts w:eastAsia="Times New Roman" w:cstheme="minorHAnsi"/>
                <w:lang w:eastAsia="pl-PL"/>
              </w:rPr>
            </w:pPr>
          </w:p>
        </w:tc>
        <w:tc>
          <w:tcPr>
            <w:tcW w:w="8789" w:type="dxa"/>
            <w:tcBorders>
              <w:top w:val="single" w:sz="4" w:space="0" w:color="auto"/>
              <w:left w:val="single" w:sz="4" w:space="0" w:color="auto"/>
              <w:bottom w:val="single" w:sz="4" w:space="0" w:color="auto"/>
              <w:right w:val="single" w:sz="4" w:space="0" w:color="auto"/>
            </w:tcBorders>
            <w:shd w:val="clear" w:color="000000" w:fill="DCE6F1"/>
            <w:hideMark/>
          </w:tcPr>
          <w:p w14:paraId="4A3381DB" w14:textId="77777777" w:rsidR="00BE69CD" w:rsidRPr="002226B0" w:rsidRDefault="00BE69CD" w:rsidP="00D60DEF">
            <w:pPr>
              <w:spacing w:after="0" w:line="360" w:lineRule="auto"/>
              <w:rPr>
                <w:rFonts w:eastAsia="Times New Roman" w:cstheme="minorHAnsi"/>
                <w:lang w:eastAsia="pl-PL"/>
              </w:rPr>
            </w:pPr>
            <w:r w:rsidRPr="002226B0">
              <w:rPr>
                <w:rFonts w:eastAsia="Times New Roman" w:cstheme="minorHAnsi"/>
                <w:lang w:eastAsia="pl-PL"/>
              </w:rPr>
              <w:t>GOSPODARKA MATERIAŁOWA</w:t>
            </w:r>
          </w:p>
        </w:tc>
      </w:tr>
      <w:tr w:rsidR="00BE69CD" w:rsidRPr="002226B0" w14:paraId="297A9741" w14:textId="77777777" w:rsidTr="00D60DEF">
        <w:trPr>
          <w:trHeight w:val="300"/>
        </w:trPr>
        <w:tc>
          <w:tcPr>
            <w:tcW w:w="704" w:type="dxa"/>
            <w:tcBorders>
              <w:top w:val="single" w:sz="4" w:space="0" w:color="auto"/>
              <w:left w:val="single" w:sz="4" w:space="0" w:color="auto"/>
              <w:bottom w:val="single" w:sz="4" w:space="0" w:color="auto"/>
              <w:right w:val="single" w:sz="4" w:space="0" w:color="auto"/>
            </w:tcBorders>
          </w:tcPr>
          <w:p w14:paraId="4B9FAD42" w14:textId="77777777" w:rsidR="00BE69CD" w:rsidRPr="002226B0" w:rsidRDefault="00BE69CD" w:rsidP="00D60DEF">
            <w:pPr>
              <w:spacing w:after="0" w:line="360" w:lineRule="auto"/>
              <w:rPr>
                <w:rFonts w:eastAsia="Times New Roman" w:cstheme="minorHAnsi"/>
                <w:lang w:eastAsia="pl-PL"/>
              </w:rPr>
            </w:pPr>
            <w:r>
              <w:rPr>
                <w:rFonts w:eastAsia="Times New Roman" w:cstheme="minorHAnsi"/>
                <w:lang w:eastAsia="pl-PL"/>
              </w:rPr>
              <w:lastRenderedPageBreak/>
              <w:t>14</w:t>
            </w:r>
            <w:r w:rsidRPr="002226B0">
              <w:rPr>
                <w:rFonts w:eastAsia="Times New Roman" w:cstheme="minorHAnsi"/>
                <w:lang w:eastAsia="pl-PL"/>
              </w:rPr>
              <w:t>.</w:t>
            </w:r>
          </w:p>
        </w:tc>
        <w:tc>
          <w:tcPr>
            <w:tcW w:w="8789" w:type="dxa"/>
            <w:tcBorders>
              <w:top w:val="single" w:sz="4" w:space="0" w:color="auto"/>
              <w:left w:val="single" w:sz="4" w:space="0" w:color="auto"/>
              <w:bottom w:val="single" w:sz="4" w:space="0" w:color="auto"/>
              <w:right w:val="single" w:sz="4" w:space="0" w:color="auto"/>
            </w:tcBorders>
            <w:shd w:val="clear" w:color="auto" w:fill="auto"/>
            <w:hideMark/>
          </w:tcPr>
          <w:p w14:paraId="47C69CCF" w14:textId="77777777" w:rsidR="00BE69CD" w:rsidRPr="002226B0" w:rsidRDefault="00BE69CD" w:rsidP="00D60DEF">
            <w:pPr>
              <w:spacing w:after="0" w:line="360" w:lineRule="auto"/>
              <w:rPr>
                <w:rFonts w:eastAsia="Times New Roman" w:cstheme="minorHAnsi"/>
                <w:lang w:eastAsia="pl-PL"/>
              </w:rPr>
            </w:pPr>
            <w:r w:rsidRPr="002226B0">
              <w:rPr>
                <w:rFonts w:eastAsia="Times New Roman" w:cstheme="minorHAnsi"/>
                <w:lang w:eastAsia="pl-PL"/>
              </w:rPr>
              <w:t>Ewidencja obrotu materiałowego w cyklu miesięcznym (prowadzenie dzienników wprowadzonych dokumentów)</w:t>
            </w:r>
          </w:p>
        </w:tc>
      </w:tr>
      <w:tr w:rsidR="00BE69CD" w:rsidRPr="002226B0" w14:paraId="0D06D3DA" w14:textId="77777777" w:rsidTr="00D60DEF">
        <w:trPr>
          <w:trHeight w:val="300"/>
        </w:trPr>
        <w:tc>
          <w:tcPr>
            <w:tcW w:w="704" w:type="dxa"/>
            <w:tcBorders>
              <w:top w:val="single" w:sz="4" w:space="0" w:color="auto"/>
              <w:left w:val="single" w:sz="4" w:space="0" w:color="auto"/>
              <w:bottom w:val="single" w:sz="4" w:space="0" w:color="auto"/>
              <w:right w:val="single" w:sz="4" w:space="0" w:color="auto"/>
            </w:tcBorders>
          </w:tcPr>
          <w:p w14:paraId="5F095B39" w14:textId="77777777" w:rsidR="00BE69CD" w:rsidRPr="002226B0" w:rsidRDefault="00BE69CD" w:rsidP="00D60DEF">
            <w:pPr>
              <w:spacing w:after="0" w:line="360" w:lineRule="auto"/>
              <w:rPr>
                <w:rFonts w:eastAsia="Times New Roman" w:cstheme="minorHAnsi"/>
                <w:lang w:eastAsia="pl-PL"/>
              </w:rPr>
            </w:pPr>
            <w:r>
              <w:rPr>
                <w:rFonts w:eastAsia="Times New Roman" w:cstheme="minorHAnsi"/>
                <w:lang w:eastAsia="pl-PL"/>
              </w:rPr>
              <w:t>15</w:t>
            </w:r>
            <w:r w:rsidRPr="002226B0">
              <w:rPr>
                <w:rFonts w:eastAsia="Times New Roman" w:cstheme="minorHAnsi"/>
                <w:lang w:eastAsia="pl-PL"/>
              </w:rPr>
              <w:t>.</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04FD85E8" w14:textId="77777777" w:rsidR="00BE69CD" w:rsidRPr="002226B0" w:rsidRDefault="00BE69CD" w:rsidP="00D60DEF">
            <w:pPr>
              <w:spacing w:after="0" w:line="360" w:lineRule="auto"/>
              <w:rPr>
                <w:rFonts w:eastAsia="Times New Roman" w:cstheme="minorHAnsi"/>
                <w:lang w:eastAsia="pl-PL"/>
              </w:rPr>
            </w:pPr>
            <w:r w:rsidRPr="002226B0">
              <w:rPr>
                <w:rFonts w:eastAsia="Times New Roman" w:cstheme="minorHAnsi"/>
                <w:lang w:eastAsia="pl-PL"/>
              </w:rPr>
              <w:t>Korekty przychodów (ilościowe i wartościowe) - możliwość automatycznej korekty rozchodów dokonanych na podstawie skorygowanych dostaw</w:t>
            </w:r>
          </w:p>
        </w:tc>
      </w:tr>
      <w:tr w:rsidR="00BE69CD" w:rsidRPr="002226B0" w14:paraId="5C2B1566" w14:textId="77777777" w:rsidTr="00D60DEF">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F9F902" w14:textId="77777777" w:rsidR="00BE69CD" w:rsidRPr="002226B0" w:rsidRDefault="00BE69CD" w:rsidP="00D60DEF">
            <w:pPr>
              <w:spacing w:after="0" w:line="360" w:lineRule="auto"/>
              <w:rPr>
                <w:rFonts w:eastAsia="Times New Roman" w:cstheme="minorHAnsi"/>
                <w:lang w:eastAsia="pl-PL"/>
              </w:rPr>
            </w:pPr>
          </w:p>
        </w:tc>
        <w:tc>
          <w:tcPr>
            <w:tcW w:w="878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5D29F03" w14:textId="77777777" w:rsidR="00BE69CD" w:rsidRPr="002226B0" w:rsidRDefault="00BE69CD" w:rsidP="00D60DEF">
            <w:pPr>
              <w:tabs>
                <w:tab w:val="center" w:pos="4324"/>
              </w:tabs>
              <w:spacing w:after="0" w:line="360" w:lineRule="auto"/>
              <w:rPr>
                <w:rFonts w:eastAsia="Times New Roman" w:cstheme="minorHAnsi"/>
                <w:lang w:eastAsia="pl-PL"/>
              </w:rPr>
            </w:pPr>
            <w:r w:rsidRPr="002226B0">
              <w:rPr>
                <w:rFonts w:eastAsia="Times New Roman" w:cstheme="minorHAnsi"/>
                <w:lang w:eastAsia="pl-PL"/>
              </w:rPr>
              <w:t>PŁACE</w:t>
            </w:r>
          </w:p>
        </w:tc>
      </w:tr>
      <w:tr w:rsidR="00BE69CD" w:rsidRPr="002226B0" w14:paraId="01635A34" w14:textId="77777777" w:rsidTr="00D60DEF">
        <w:trPr>
          <w:trHeight w:val="300"/>
        </w:trPr>
        <w:tc>
          <w:tcPr>
            <w:tcW w:w="704" w:type="dxa"/>
            <w:tcBorders>
              <w:top w:val="single" w:sz="4" w:space="0" w:color="auto"/>
              <w:left w:val="single" w:sz="4" w:space="0" w:color="auto"/>
              <w:bottom w:val="single" w:sz="4" w:space="0" w:color="auto"/>
              <w:right w:val="single" w:sz="4" w:space="0" w:color="auto"/>
            </w:tcBorders>
          </w:tcPr>
          <w:p w14:paraId="7BE0C5B0" w14:textId="77777777" w:rsidR="00BE69CD" w:rsidRPr="002226B0" w:rsidRDefault="00BE69CD" w:rsidP="00D60DEF">
            <w:pPr>
              <w:spacing w:after="0" w:line="360" w:lineRule="auto"/>
              <w:rPr>
                <w:rFonts w:eastAsia="Times New Roman" w:cstheme="minorHAnsi"/>
                <w:lang w:eastAsia="pl-PL"/>
              </w:rPr>
            </w:pPr>
            <w:r>
              <w:rPr>
                <w:rFonts w:eastAsia="Times New Roman" w:cstheme="minorHAnsi"/>
                <w:lang w:eastAsia="pl-PL"/>
              </w:rPr>
              <w:t>16</w:t>
            </w:r>
            <w:r w:rsidRPr="002226B0">
              <w:rPr>
                <w:rFonts w:eastAsia="Times New Roman" w:cstheme="minorHAnsi"/>
                <w:lang w:eastAsia="pl-PL"/>
              </w:rPr>
              <w:t>.</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790CF6C2" w14:textId="77777777" w:rsidR="00BE69CD" w:rsidRPr="002226B0" w:rsidRDefault="00BE69CD" w:rsidP="00D60DEF">
            <w:pPr>
              <w:tabs>
                <w:tab w:val="center" w:pos="4324"/>
              </w:tabs>
              <w:spacing w:after="0" w:line="360" w:lineRule="auto"/>
              <w:rPr>
                <w:rFonts w:eastAsia="Times New Roman" w:cstheme="minorHAnsi"/>
                <w:lang w:eastAsia="pl-PL"/>
              </w:rPr>
            </w:pPr>
            <w:r w:rsidRPr="006C2A83">
              <w:rPr>
                <w:rFonts w:eastAsia="Times New Roman" w:cstheme="minorHAnsi"/>
                <w:lang w:eastAsia="pl-PL"/>
              </w:rPr>
              <w:t>Dowolne definiowanie składników płacowych i określanie sposobu ich naliczania.</w:t>
            </w:r>
          </w:p>
        </w:tc>
      </w:tr>
    </w:tbl>
    <w:p w14:paraId="1E3E594D" w14:textId="77777777" w:rsidR="00BE69CD" w:rsidRDefault="00BE69CD" w:rsidP="00BE69CD">
      <w:pPr>
        <w:jc w:val="both"/>
      </w:pPr>
    </w:p>
    <w:sectPr w:rsidR="00BE69C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89FBD" w14:textId="77777777" w:rsidR="001B43D0" w:rsidRDefault="001B43D0" w:rsidP="007F65DA">
      <w:pPr>
        <w:spacing w:after="0" w:line="240" w:lineRule="auto"/>
      </w:pPr>
      <w:r>
        <w:separator/>
      </w:r>
    </w:p>
  </w:endnote>
  <w:endnote w:type="continuationSeparator" w:id="0">
    <w:p w14:paraId="43FBB2EE" w14:textId="77777777" w:rsidR="001B43D0" w:rsidRDefault="001B43D0" w:rsidP="007F6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789B" w14:textId="77777777" w:rsidR="007F65DA" w:rsidRDefault="007F65DA">
    <w:pPr>
      <w:pStyle w:val="Stopka"/>
    </w:pPr>
    <w:r>
      <w:rPr>
        <w:noProof/>
      </w:rPr>
      <mc:AlternateContent>
        <mc:Choice Requires="wps">
          <w:drawing>
            <wp:anchor distT="0" distB="0" distL="0" distR="0" simplePos="0" relativeHeight="251659264" behindDoc="0" locked="0" layoutInCell="1" allowOverlap="1" wp14:anchorId="37BC8029" wp14:editId="558D7032">
              <wp:simplePos x="635" y="635"/>
              <wp:positionH relativeFrom="column">
                <wp:align>center</wp:align>
              </wp:positionH>
              <wp:positionV relativeFrom="paragraph">
                <wp:posOffset>635</wp:posOffset>
              </wp:positionV>
              <wp:extent cx="443865" cy="443865"/>
              <wp:effectExtent l="0" t="0" r="13335" b="14605"/>
              <wp:wrapSquare wrapText="bothSides"/>
              <wp:docPr id="2" name="Pole tekstowe 2" descr="Internal Use Only"/>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C68BD3" w14:textId="77777777" w:rsidR="007F65DA" w:rsidRPr="007F65DA" w:rsidRDefault="007F65DA">
                          <w:pPr>
                            <w:rPr>
                              <w:rFonts w:ascii="Calibri" w:eastAsia="Calibri" w:hAnsi="Calibri" w:cs="Calibri"/>
                              <w:color w:val="000000"/>
                              <w:sz w:val="18"/>
                              <w:szCs w:val="18"/>
                            </w:rPr>
                          </w:pPr>
                          <w:proofErr w:type="spellStart"/>
                          <w:r w:rsidRPr="007F65DA">
                            <w:rPr>
                              <w:rFonts w:ascii="Calibri" w:eastAsia="Calibri" w:hAnsi="Calibri" w:cs="Calibri"/>
                              <w:color w:val="000000"/>
                              <w:sz w:val="18"/>
                              <w:szCs w:val="18"/>
                            </w:rPr>
                            <w:t>Internal</w:t>
                          </w:r>
                          <w:proofErr w:type="spellEnd"/>
                          <w:r w:rsidRPr="007F65DA">
                            <w:rPr>
                              <w:rFonts w:ascii="Calibri" w:eastAsia="Calibri" w:hAnsi="Calibri" w:cs="Calibri"/>
                              <w:color w:val="000000"/>
                              <w:sz w:val="18"/>
                              <w:szCs w:val="18"/>
                            </w:rPr>
                            <w:t xml:space="preserve"> </w:t>
                          </w:r>
                          <w:proofErr w:type="spellStart"/>
                          <w:r w:rsidRPr="007F65DA">
                            <w:rPr>
                              <w:rFonts w:ascii="Calibri" w:eastAsia="Calibri" w:hAnsi="Calibri" w:cs="Calibri"/>
                              <w:color w:val="000000"/>
                              <w:sz w:val="18"/>
                              <w:szCs w:val="18"/>
                            </w:rPr>
                            <w:t>Use</w:t>
                          </w:r>
                          <w:proofErr w:type="spellEnd"/>
                          <w:r w:rsidRPr="007F65DA">
                            <w:rPr>
                              <w:rFonts w:ascii="Calibri" w:eastAsia="Calibri" w:hAnsi="Calibri" w:cs="Calibri"/>
                              <w:color w:val="000000"/>
                              <w:sz w:val="18"/>
                              <w:szCs w:val="18"/>
                            </w:rPr>
                            <w:t xml:space="preserve"> </w:t>
                          </w:r>
                          <w:proofErr w:type="spellStart"/>
                          <w:r w:rsidRPr="007F65DA">
                            <w:rPr>
                              <w:rFonts w:ascii="Calibri" w:eastAsia="Calibri" w:hAnsi="Calibri" w:cs="Calibri"/>
                              <w:color w:val="000000"/>
                              <w:sz w:val="18"/>
                              <w:szCs w:val="18"/>
                            </w:rPr>
                            <w:t>Only</w:t>
                          </w:r>
                          <w:proofErr w:type="spellEnd"/>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7BC8029" id="_x0000_t202" coordsize="21600,21600" o:spt="202" path="m,l,21600r21600,l21600,xe">
              <v:stroke joinstyle="miter"/>
              <v:path gradientshapeok="t" o:connecttype="rect"/>
            </v:shapetype>
            <v:shape id="Pole tekstowe 2" o:spid="_x0000_s1026" type="#_x0000_t202" alt="Internal Use Only"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0C68BD3" w14:textId="77777777" w:rsidR="007F65DA" w:rsidRPr="007F65DA" w:rsidRDefault="007F65DA">
                    <w:pPr>
                      <w:rPr>
                        <w:rFonts w:ascii="Calibri" w:eastAsia="Calibri" w:hAnsi="Calibri" w:cs="Calibri"/>
                        <w:color w:val="000000"/>
                        <w:sz w:val="18"/>
                        <w:szCs w:val="18"/>
                      </w:rPr>
                    </w:pPr>
                    <w:proofErr w:type="spellStart"/>
                    <w:r w:rsidRPr="007F65DA">
                      <w:rPr>
                        <w:rFonts w:ascii="Calibri" w:eastAsia="Calibri" w:hAnsi="Calibri" w:cs="Calibri"/>
                        <w:color w:val="000000"/>
                        <w:sz w:val="18"/>
                        <w:szCs w:val="18"/>
                      </w:rPr>
                      <w:t>Internal</w:t>
                    </w:r>
                    <w:proofErr w:type="spellEnd"/>
                    <w:r w:rsidRPr="007F65DA">
                      <w:rPr>
                        <w:rFonts w:ascii="Calibri" w:eastAsia="Calibri" w:hAnsi="Calibri" w:cs="Calibri"/>
                        <w:color w:val="000000"/>
                        <w:sz w:val="18"/>
                        <w:szCs w:val="18"/>
                      </w:rPr>
                      <w:t xml:space="preserve"> </w:t>
                    </w:r>
                    <w:proofErr w:type="spellStart"/>
                    <w:r w:rsidRPr="007F65DA">
                      <w:rPr>
                        <w:rFonts w:ascii="Calibri" w:eastAsia="Calibri" w:hAnsi="Calibri" w:cs="Calibri"/>
                        <w:color w:val="000000"/>
                        <w:sz w:val="18"/>
                        <w:szCs w:val="18"/>
                      </w:rPr>
                      <w:t>Use</w:t>
                    </w:r>
                    <w:proofErr w:type="spellEnd"/>
                    <w:r w:rsidRPr="007F65DA">
                      <w:rPr>
                        <w:rFonts w:ascii="Calibri" w:eastAsia="Calibri" w:hAnsi="Calibri" w:cs="Calibri"/>
                        <w:color w:val="000000"/>
                        <w:sz w:val="18"/>
                        <w:szCs w:val="18"/>
                      </w:rPr>
                      <w:t xml:space="preserve"> </w:t>
                    </w:r>
                    <w:proofErr w:type="spellStart"/>
                    <w:r w:rsidRPr="007F65DA">
                      <w:rPr>
                        <w:rFonts w:ascii="Calibri" w:eastAsia="Calibri" w:hAnsi="Calibri" w:cs="Calibri"/>
                        <w:color w:val="000000"/>
                        <w:sz w:val="18"/>
                        <w:szCs w:val="18"/>
                      </w:rPr>
                      <w:t>Only</w:t>
                    </w:r>
                    <w:proofErr w:type="spellEnd"/>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5144" w14:textId="77777777" w:rsidR="007F65DA" w:rsidRDefault="007F65DA">
    <w:pPr>
      <w:pStyle w:val="Stopka"/>
    </w:pPr>
    <w:r>
      <w:rPr>
        <w:noProof/>
      </w:rPr>
      <mc:AlternateContent>
        <mc:Choice Requires="wps">
          <w:drawing>
            <wp:anchor distT="0" distB="0" distL="0" distR="0" simplePos="0" relativeHeight="251660288" behindDoc="0" locked="0" layoutInCell="1" allowOverlap="1" wp14:anchorId="2E161D0F" wp14:editId="21659BB2">
              <wp:simplePos x="635" y="635"/>
              <wp:positionH relativeFrom="column">
                <wp:align>center</wp:align>
              </wp:positionH>
              <wp:positionV relativeFrom="paragraph">
                <wp:posOffset>635</wp:posOffset>
              </wp:positionV>
              <wp:extent cx="443865" cy="443865"/>
              <wp:effectExtent l="0" t="0" r="13335" b="14605"/>
              <wp:wrapSquare wrapText="bothSides"/>
              <wp:docPr id="3" name="Pole tekstowe 3" descr="Internal Use Only"/>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3E4C23" w14:textId="0A0B84CD" w:rsidR="007F65DA" w:rsidRPr="007F65DA" w:rsidRDefault="007F65DA">
                          <w:pPr>
                            <w:rPr>
                              <w:rFonts w:ascii="Calibri" w:eastAsia="Calibri" w:hAnsi="Calibri" w:cs="Calibri"/>
                              <w:color w:val="000000"/>
                              <w:sz w:val="18"/>
                              <w:szCs w:val="18"/>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E161D0F" id="_x0000_t202" coordsize="21600,21600" o:spt="202" path="m,l,21600r21600,l21600,xe">
              <v:stroke joinstyle="miter"/>
              <v:path gradientshapeok="t" o:connecttype="rect"/>
            </v:shapetype>
            <v:shape id="Pole tekstowe 3" o:spid="_x0000_s1027" type="#_x0000_t202" alt="Internal Use Only"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43E4C23" w14:textId="0A0B84CD" w:rsidR="007F65DA" w:rsidRPr="007F65DA" w:rsidRDefault="007F65DA">
                    <w:pPr>
                      <w:rPr>
                        <w:rFonts w:ascii="Calibri" w:eastAsia="Calibri" w:hAnsi="Calibri" w:cs="Calibri"/>
                        <w:color w:val="000000"/>
                        <w:sz w:val="18"/>
                        <w:szCs w:val="18"/>
                      </w:rP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9D35" w14:textId="77777777" w:rsidR="007F65DA" w:rsidRDefault="007F65DA">
    <w:pPr>
      <w:pStyle w:val="Stopka"/>
    </w:pPr>
    <w:r>
      <w:rPr>
        <w:noProof/>
      </w:rPr>
      <mc:AlternateContent>
        <mc:Choice Requires="wps">
          <w:drawing>
            <wp:anchor distT="0" distB="0" distL="0" distR="0" simplePos="0" relativeHeight="251658240" behindDoc="0" locked="0" layoutInCell="1" allowOverlap="1" wp14:anchorId="5212CDEF" wp14:editId="36733499">
              <wp:simplePos x="635" y="635"/>
              <wp:positionH relativeFrom="column">
                <wp:align>center</wp:align>
              </wp:positionH>
              <wp:positionV relativeFrom="paragraph">
                <wp:posOffset>635</wp:posOffset>
              </wp:positionV>
              <wp:extent cx="443865" cy="443865"/>
              <wp:effectExtent l="0" t="0" r="13335" b="14605"/>
              <wp:wrapSquare wrapText="bothSides"/>
              <wp:docPr id="1" name="Pole tekstowe 1" descr="Internal Use Only"/>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B5A533" w14:textId="77777777" w:rsidR="007F65DA" w:rsidRPr="007F65DA" w:rsidRDefault="007F65DA">
                          <w:pPr>
                            <w:rPr>
                              <w:rFonts w:ascii="Calibri" w:eastAsia="Calibri" w:hAnsi="Calibri" w:cs="Calibri"/>
                              <w:color w:val="000000"/>
                              <w:sz w:val="18"/>
                              <w:szCs w:val="18"/>
                            </w:rPr>
                          </w:pPr>
                          <w:proofErr w:type="spellStart"/>
                          <w:r w:rsidRPr="007F65DA">
                            <w:rPr>
                              <w:rFonts w:ascii="Calibri" w:eastAsia="Calibri" w:hAnsi="Calibri" w:cs="Calibri"/>
                              <w:color w:val="000000"/>
                              <w:sz w:val="18"/>
                              <w:szCs w:val="18"/>
                            </w:rPr>
                            <w:t>Internal</w:t>
                          </w:r>
                          <w:proofErr w:type="spellEnd"/>
                          <w:r w:rsidRPr="007F65DA">
                            <w:rPr>
                              <w:rFonts w:ascii="Calibri" w:eastAsia="Calibri" w:hAnsi="Calibri" w:cs="Calibri"/>
                              <w:color w:val="000000"/>
                              <w:sz w:val="18"/>
                              <w:szCs w:val="18"/>
                            </w:rPr>
                            <w:t xml:space="preserve"> </w:t>
                          </w:r>
                          <w:proofErr w:type="spellStart"/>
                          <w:r w:rsidRPr="007F65DA">
                            <w:rPr>
                              <w:rFonts w:ascii="Calibri" w:eastAsia="Calibri" w:hAnsi="Calibri" w:cs="Calibri"/>
                              <w:color w:val="000000"/>
                              <w:sz w:val="18"/>
                              <w:szCs w:val="18"/>
                            </w:rPr>
                            <w:t>Use</w:t>
                          </w:r>
                          <w:proofErr w:type="spellEnd"/>
                          <w:r w:rsidRPr="007F65DA">
                            <w:rPr>
                              <w:rFonts w:ascii="Calibri" w:eastAsia="Calibri" w:hAnsi="Calibri" w:cs="Calibri"/>
                              <w:color w:val="000000"/>
                              <w:sz w:val="18"/>
                              <w:szCs w:val="18"/>
                            </w:rPr>
                            <w:t xml:space="preserve"> </w:t>
                          </w:r>
                          <w:proofErr w:type="spellStart"/>
                          <w:r w:rsidRPr="007F65DA">
                            <w:rPr>
                              <w:rFonts w:ascii="Calibri" w:eastAsia="Calibri" w:hAnsi="Calibri" w:cs="Calibri"/>
                              <w:color w:val="000000"/>
                              <w:sz w:val="18"/>
                              <w:szCs w:val="18"/>
                            </w:rPr>
                            <w:t>Only</w:t>
                          </w:r>
                          <w:proofErr w:type="spellEnd"/>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212CDEF" id="_x0000_t202" coordsize="21600,21600" o:spt="202" path="m,l,21600r21600,l21600,xe">
              <v:stroke joinstyle="miter"/>
              <v:path gradientshapeok="t" o:connecttype="rect"/>
            </v:shapetype>
            <v:shape id="Pole tekstowe 1" o:spid="_x0000_s1028" type="#_x0000_t202" alt="Internal Use Only"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7CB5A533" w14:textId="77777777" w:rsidR="007F65DA" w:rsidRPr="007F65DA" w:rsidRDefault="007F65DA">
                    <w:pPr>
                      <w:rPr>
                        <w:rFonts w:ascii="Calibri" w:eastAsia="Calibri" w:hAnsi="Calibri" w:cs="Calibri"/>
                        <w:color w:val="000000"/>
                        <w:sz w:val="18"/>
                        <w:szCs w:val="18"/>
                      </w:rPr>
                    </w:pPr>
                    <w:proofErr w:type="spellStart"/>
                    <w:r w:rsidRPr="007F65DA">
                      <w:rPr>
                        <w:rFonts w:ascii="Calibri" w:eastAsia="Calibri" w:hAnsi="Calibri" w:cs="Calibri"/>
                        <w:color w:val="000000"/>
                        <w:sz w:val="18"/>
                        <w:szCs w:val="18"/>
                      </w:rPr>
                      <w:t>Internal</w:t>
                    </w:r>
                    <w:proofErr w:type="spellEnd"/>
                    <w:r w:rsidRPr="007F65DA">
                      <w:rPr>
                        <w:rFonts w:ascii="Calibri" w:eastAsia="Calibri" w:hAnsi="Calibri" w:cs="Calibri"/>
                        <w:color w:val="000000"/>
                        <w:sz w:val="18"/>
                        <w:szCs w:val="18"/>
                      </w:rPr>
                      <w:t xml:space="preserve"> </w:t>
                    </w:r>
                    <w:proofErr w:type="spellStart"/>
                    <w:r w:rsidRPr="007F65DA">
                      <w:rPr>
                        <w:rFonts w:ascii="Calibri" w:eastAsia="Calibri" w:hAnsi="Calibri" w:cs="Calibri"/>
                        <w:color w:val="000000"/>
                        <w:sz w:val="18"/>
                        <w:szCs w:val="18"/>
                      </w:rPr>
                      <w:t>Use</w:t>
                    </w:r>
                    <w:proofErr w:type="spellEnd"/>
                    <w:r w:rsidRPr="007F65DA">
                      <w:rPr>
                        <w:rFonts w:ascii="Calibri" w:eastAsia="Calibri" w:hAnsi="Calibri" w:cs="Calibri"/>
                        <w:color w:val="000000"/>
                        <w:sz w:val="18"/>
                        <w:szCs w:val="18"/>
                      </w:rPr>
                      <w:t xml:space="preserve"> </w:t>
                    </w:r>
                    <w:proofErr w:type="spellStart"/>
                    <w:r w:rsidRPr="007F65DA">
                      <w:rPr>
                        <w:rFonts w:ascii="Calibri" w:eastAsia="Calibri" w:hAnsi="Calibri" w:cs="Calibri"/>
                        <w:color w:val="000000"/>
                        <w:sz w:val="18"/>
                        <w:szCs w:val="18"/>
                      </w:rPr>
                      <w:t>Only</w:t>
                    </w:r>
                    <w:proofErr w:type="spellEnd"/>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9AE12" w14:textId="77777777" w:rsidR="001B43D0" w:rsidRDefault="001B43D0" w:rsidP="007F65DA">
      <w:pPr>
        <w:spacing w:after="0" w:line="240" w:lineRule="auto"/>
      </w:pPr>
      <w:r>
        <w:separator/>
      </w:r>
    </w:p>
  </w:footnote>
  <w:footnote w:type="continuationSeparator" w:id="0">
    <w:p w14:paraId="28C1E059" w14:textId="77777777" w:rsidR="001B43D0" w:rsidRDefault="001B43D0" w:rsidP="007F6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4268" w14:textId="77777777" w:rsidR="00F41D15" w:rsidRDefault="00F41D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4ADD" w14:textId="1B4C0707" w:rsidR="00BE69CD" w:rsidRDefault="00F41D15">
    <w:pPr>
      <w:pStyle w:val="Nagwek"/>
    </w:pPr>
    <w:r>
      <w:t xml:space="preserve">      </w:t>
    </w:r>
    <w:r>
      <w:rPr>
        <w:noProof/>
        <w:lang w:eastAsia="pl-PL"/>
      </w:rPr>
      <w:drawing>
        <wp:inline distT="0" distB="0" distL="0" distR="0" wp14:anchorId="6F80FCFD" wp14:editId="427662B5">
          <wp:extent cx="5522400" cy="7128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ziom_polskie_czarno_bi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2400" cy="712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6F47" w14:textId="77777777" w:rsidR="00F41D15" w:rsidRDefault="00F41D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61BCF"/>
    <w:multiLevelType w:val="hybridMultilevel"/>
    <w:tmpl w:val="9436580E"/>
    <w:lvl w:ilvl="0" w:tplc="447A4D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5DA"/>
    <w:rsid w:val="00107A32"/>
    <w:rsid w:val="001A3A6E"/>
    <w:rsid w:val="001B43D0"/>
    <w:rsid w:val="0033153C"/>
    <w:rsid w:val="00542A6D"/>
    <w:rsid w:val="006C2A83"/>
    <w:rsid w:val="00711288"/>
    <w:rsid w:val="00717B73"/>
    <w:rsid w:val="00764FE4"/>
    <w:rsid w:val="007F65DA"/>
    <w:rsid w:val="00812AA0"/>
    <w:rsid w:val="009B4BE7"/>
    <w:rsid w:val="00B40CFD"/>
    <w:rsid w:val="00B6260A"/>
    <w:rsid w:val="00BE69CD"/>
    <w:rsid w:val="00C70302"/>
    <w:rsid w:val="00C709AA"/>
    <w:rsid w:val="00C84A5D"/>
    <w:rsid w:val="00D175FF"/>
    <w:rsid w:val="00D83D8D"/>
    <w:rsid w:val="00EA6FAA"/>
    <w:rsid w:val="00F41D15"/>
    <w:rsid w:val="00FF587C"/>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D427B"/>
  <w15:chartTrackingRefBased/>
  <w15:docId w15:val="{6FCFEBED-1E05-499C-8FAA-19C16ECD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65D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F65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65DA"/>
  </w:style>
  <w:style w:type="paragraph" w:styleId="Stopka">
    <w:name w:val="footer"/>
    <w:basedOn w:val="Normalny"/>
    <w:link w:val="StopkaZnak"/>
    <w:uiPriority w:val="99"/>
    <w:unhideWhenUsed/>
    <w:rsid w:val="007F65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65DA"/>
  </w:style>
  <w:style w:type="paragraph" w:styleId="Tekstdymka">
    <w:name w:val="Balloon Text"/>
    <w:basedOn w:val="Normalny"/>
    <w:link w:val="TekstdymkaZnak"/>
    <w:uiPriority w:val="99"/>
    <w:semiHidden/>
    <w:unhideWhenUsed/>
    <w:rsid w:val="007F65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65DA"/>
    <w:rPr>
      <w:rFonts w:ascii="Segoe UI" w:hAnsi="Segoe UI" w:cs="Segoe UI"/>
      <w:sz w:val="18"/>
      <w:szCs w:val="18"/>
    </w:rPr>
  </w:style>
  <w:style w:type="character" w:customStyle="1" w:styleId="FontStyle17">
    <w:name w:val="Font Style17"/>
    <w:basedOn w:val="Domylnaczcionkaakapitu"/>
    <w:uiPriority w:val="99"/>
    <w:rsid w:val="00711288"/>
    <w:rPr>
      <w:rFonts w:ascii="Calibri" w:hAnsi="Calibri" w:cs="Calibri"/>
      <w:sz w:val="22"/>
      <w:szCs w:val="22"/>
    </w:rPr>
  </w:style>
  <w:style w:type="paragraph" w:styleId="Akapitzlist">
    <w:name w:val="List Paragraph"/>
    <w:basedOn w:val="Normalny"/>
    <w:uiPriority w:val="34"/>
    <w:qFormat/>
    <w:rsid w:val="00542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37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1401</Words>
  <Characters>8408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Katarzyna Tomala</cp:lastModifiedBy>
  <cp:revision>8</cp:revision>
  <dcterms:created xsi:type="dcterms:W3CDTF">2021-12-03T13:04:00Z</dcterms:created>
  <dcterms:modified xsi:type="dcterms:W3CDTF">2022-01-31T19:43:00Z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#000000,9,Calibri</vt:lpwstr>
  </property>
  <property fmtid="{D5CDD505-2E9C-101B-9397-08002B2CF9AE}" pid="4" name="ClassificationContentMarkingFooterText">
    <vt:lpwstr>Internal Use Only</vt:lpwstr>
  </property>
  <property fmtid="{D5CDD505-2E9C-101B-9397-08002B2CF9AE}" pid="5" name="MSIP_Label_fbf47bbe-a0a2-4c04-9ba4-22f94012202d_Enabled">
    <vt:lpwstr>true</vt:lpwstr>
  </property>
  <property fmtid="{D5CDD505-2E9C-101B-9397-08002B2CF9AE}" pid="6" name="MSIP_Label_fbf47bbe-a0a2-4c04-9ba4-22f94012202d_SetDate">
    <vt:lpwstr>2021-11-29T12:14:46Z</vt:lpwstr>
  </property>
  <property fmtid="{D5CDD505-2E9C-101B-9397-08002B2CF9AE}" pid="7" name="MSIP_Label_fbf47bbe-a0a2-4c04-9ba4-22f94012202d_Method">
    <vt:lpwstr>Standard</vt:lpwstr>
  </property>
  <property fmtid="{D5CDD505-2E9C-101B-9397-08002B2CF9AE}" pid="8" name="MSIP_Label_fbf47bbe-a0a2-4c04-9ba4-22f94012202d_Name">
    <vt:lpwstr>Internal</vt:lpwstr>
  </property>
  <property fmtid="{D5CDD505-2E9C-101B-9397-08002B2CF9AE}" pid="9" name="MSIP_Label_fbf47bbe-a0a2-4c04-9ba4-22f94012202d_SiteId">
    <vt:lpwstr>69602cf4-a76e-4265-955f-03c329c50608</vt:lpwstr>
  </property>
  <property fmtid="{D5CDD505-2E9C-101B-9397-08002B2CF9AE}" pid="10" name="MSIP_Label_fbf47bbe-a0a2-4c04-9ba4-22f94012202d_ActionId">
    <vt:lpwstr>3be6c12d-93e2-48e1-8a9b-f0fcce51f051</vt:lpwstr>
  </property>
  <property fmtid="{D5CDD505-2E9C-101B-9397-08002B2CF9AE}" pid="11" name="MSIP_Label_fbf47bbe-a0a2-4c04-9ba4-22f94012202d_ContentBits">
    <vt:lpwstr>2</vt:lpwstr>
  </property>
</Properties>
</file>