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36" w:rsidRPr="000E3591" w:rsidRDefault="00A63EF8" w:rsidP="008746F0">
      <w:pPr>
        <w:spacing w:line="276" w:lineRule="auto"/>
        <w:jc w:val="center"/>
        <w:rPr>
          <w:rFonts w:eastAsia="Calibri"/>
          <w:szCs w:val="22"/>
          <w:lang w:eastAsia="en-US"/>
        </w:rPr>
      </w:pPr>
      <w:bookmarkStart w:id="0" w:name="_GoBack"/>
      <w:bookmarkEnd w:id="0"/>
      <w:r w:rsidRPr="000E3591">
        <w:rPr>
          <w:rFonts w:eastAsia="Calibri"/>
          <w:b/>
          <w:szCs w:val="22"/>
          <w:lang w:eastAsia="en-US"/>
        </w:rPr>
        <w:t>INFORMACJE DO OCENY RYZYKA</w:t>
      </w:r>
    </w:p>
    <w:p w:rsidR="008746F0" w:rsidRPr="008746F0" w:rsidRDefault="008746F0" w:rsidP="008746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5880"/>
      </w:tblGrid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Pełna nazwa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Zespół Opieki Zdrowotnej w Lidzbarku Warmińskim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ul. Kard. St. Wyszyńskiego 37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7431641641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000308459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KRS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0000001994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Rodzaj Zamawiającego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Podmiot Leczniczy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Nr Księgi Rejestrowej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000000015121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Data rejestracji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1995-11-10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Data rozpoczęcia działalności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1995-11-10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Organ Założycielski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Samorząd Powiatu Lidzbarskiego</w:t>
            </w:r>
          </w:p>
        </w:tc>
      </w:tr>
    </w:tbl>
    <w:p w:rsidR="008746F0" w:rsidRPr="008746F0" w:rsidRDefault="008746F0" w:rsidP="008746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>Miejsca (lokalizacje) w których prowadzona jest działalność: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Bartoszycka 3,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11-go Listopada 15,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Góreckiego 7,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Olsztyńska 8,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Mickiewicza 16, 11-130 Orneta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Wodna 1, 11-130 Orneta </w:t>
      </w:r>
    </w:p>
    <w:p w:rsidR="00C166C2" w:rsidRPr="00C166C2" w:rsidRDefault="00C166C2" w:rsidP="00C166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53"/>
        <w:gridCol w:w="2000"/>
      </w:tblGrid>
      <w:tr w:rsidR="00C166C2" w:rsidRPr="00C166C2" w:rsidTr="00C166C2">
        <w:trPr>
          <w:trHeight w:val="528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 xml:space="preserve">Dane finansowe </w:t>
            </w:r>
          </w:p>
        </w:tc>
      </w:tr>
      <w:tr w:rsidR="00C166C2" w:rsidRPr="00C166C2" w:rsidTr="00C166C2">
        <w:trPr>
          <w:trHeight w:val="342"/>
        </w:trPr>
        <w:tc>
          <w:tcPr>
            <w:tcW w:w="2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Obroty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PLN</w:t>
            </w:r>
          </w:p>
        </w:tc>
      </w:tr>
      <w:tr w:rsidR="00C166C2" w:rsidRPr="00C166C2" w:rsidTr="00C166C2">
        <w:trPr>
          <w:trHeight w:val="503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 działalności medycznej </w:t>
            </w: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finansowanej z NFZ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za rok 2018 (wartość kontraktu z NFZ) 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18 938 938,28</w:t>
            </w:r>
          </w:p>
        </w:tc>
      </w:tr>
      <w:tr w:rsidR="00C166C2" w:rsidRPr="00C166C2" w:rsidTr="00C166C2">
        <w:trPr>
          <w:trHeight w:val="503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ze świadczeń medycznych </w:t>
            </w: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 finansowanych ze środków NFZ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 za rok 2018, w tym: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669 516,73</w:t>
            </w:r>
          </w:p>
        </w:tc>
      </w:tr>
      <w:tr w:rsidR="00C166C2" w:rsidRPr="00C166C2" w:rsidTr="00C166C2">
        <w:trPr>
          <w:trHeight w:val="35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Osoby fizyczne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295 479,32</w:t>
            </w:r>
          </w:p>
        </w:tc>
      </w:tr>
      <w:tr w:rsidR="00C166C2" w:rsidRPr="00C166C2" w:rsidTr="00C166C2">
        <w:trPr>
          <w:trHeight w:val="35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Inne ZOZ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311 889,81</w:t>
            </w:r>
          </w:p>
        </w:tc>
      </w:tr>
      <w:tr w:rsidR="00C166C2" w:rsidRPr="00C166C2" w:rsidTr="00C166C2">
        <w:trPr>
          <w:trHeight w:val="35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Inne zakłady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62 147,60</w:t>
            </w:r>
          </w:p>
        </w:tc>
      </w:tr>
      <w:tr w:rsidR="00C166C2" w:rsidRPr="00C166C2" w:rsidTr="00C166C2">
        <w:trPr>
          <w:trHeight w:val="503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 działalności </w:t>
            </w: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 xml:space="preserve">niemedycznej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za rok 2018, w tym: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250 330,66</w:t>
            </w:r>
          </w:p>
        </w:tc>
      </w:tr>
      <w:tr w:rsidR="00C166C2" w:rsidRPr="00C166C2" w:rsidTr="00C166C2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 xml:space="preserve">Usługi prosektorium i </w:t>
            </w:r>
            <w:proofErr w:type="spellStart"/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sterylizatorni</w:t>
            </w:r>
            <w:proofErr w:type="spellEnd"/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10 577,60</w:t>
            </w:r>
          </w:p>
        </w:tc>
      </w:tr>
      <w:tr w:rsidR="00C166C2" w:rsidRPr="00C166C2" w:rsidTr="00C166C2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Ksero dokumentacji medycznej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1 616,62</w:t>
            </w:r>
          </w:p>
        </w:tc>
      </w:tr>
      <w:tr w:rsidR="00C166C2" w:rsidRPr="00C166C2" w:rsidTr="00C166C2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235 596,44</w:t>
            </w:r>
          </w:p>
        </w:tc>
      </w:tr>
      <w:tr w:rsidR="00C166C2" w:rsidRPr="00C166C2" w:rsidTr="00C166C2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Pozostałe przychody ze sprzedaży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2 540,00</w:t>
            </w:r>
          </w:p>
        </w:tc>
      </w:tr>
    </w:tbl>
    <w:p w:rsidR="00C166C2" w:rsidRPr="00C166C2" w:rsidRDefault="00C166C2" w:rsidP="00C166C2">
      <w:pPr>
        <w:rPr>
          <w:sz w:val="22"/>
          <w:szCs w:val="22"/>
        </w:rPr>
      </w:pPr>
    </w:p>
    <w:p w:rsidR="00C166C2" w:rsidRPr="00C166C2" w:rsidRDefault="00C166C2" w:rsidP="00C166C2">
      <w:pPr>
        <w:rPr>
          <w:sz w:val="22"/>
          <w:szCs w:val="22"/>
        </w:rPr>
      </w:pPr>
    </w:p>
    <w:p w:rsidR="00C166C2" w:rsidRDefault="00C166C2" w:rsidP="00C166C2">
      <w:pPr>
        <w:rPr>
          <w:sz w:val="22"/>
          <w:szCs w:val="22"/>
        </w:rPr>
      </w:pPr>
    </w:p>
    <w:p w:rsidR="00C166C2" w:rsidRPr="00C166C2" w:rsidRDefault="00C166C2" w:rsidP="00C166C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6"/>
        <w:gridCol w:w="2000"/>
      </w:tblGrid>
      <w:tr w:rsidR="00C166C2" w:rsidRPr="00C166C2" w:rsidTr="00C166C2">
        <w:trPr>
          <w:trHeight w:val="467"/>
        </w:trPr>
        <w:tc>
          <w:tcPr>
            <w:tcW w:w="392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lastRenderedPageBreak/>
              <w:t>Wartość kontraktu z NFZ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PLN</w:t>
            </w:r>
          </w:p>
        </w:tc>
      </w:tr>
      <w:tr w:rsidR="00C166C2" w:rsidRPr="00C166C2" w:rsidTr="00C166C2">
        <w:trPr>
          <w:trHeight w:val="451"/>
        </w:trPr>
        <w:tc>
          <w:tcPr>
            <w:tcW w:w="392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 rok 2018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18 941 682,94</w:t>
            </w:r>
          </w:p>
        </w:tc>
      </w:tr>
      <w:tr w:rsidR="00C166C2" w:rsidRPr="00C166C2" w:rsidTr="00C166C2">
        <w:trPr>
          <w:trHeight w:val="451"/>
        </w:trPr>
        <w:tc>
          <w:tcPr>
            <w:tcW w:w="392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 rok 2019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16 531 645,10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3105"/>
      </w:tblGrid>
      <w:tr w:rsidR="00C166C2" w:rsidRPr="00C166C2" w:rsidTr="00C166C2">
        <w:trPr>
          <w:trHeight w:val="486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 pacjentów przyjętych w roku 2018</w:t>
            </w:r>
          </w:p>
        </w:tc>
      </w:tr>
      <w:tr w:rsidR="00C166C2" w:rsidRPr="00C166C2" w:rsidTr="00C166C2">
        <w:trPr>
          <w:trHeight w:val="315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Lecznictwo otwarte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39 672</w:t>
            </w:r>
          </w:p>
        </w:tc>
      </w:tr>
      <w:tr w:rsidR="00C166C2" w:rsidRPr="00C166C2" w:rsidTr="00C166C2">
        <w:trPr>
          <w:trHeight w:val="315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Lecznictwo zamknięte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4 695</w:t>
            </w:r>
          </w:p>
        </w:tc>
      </w:tr>
      <w:tr w:rsidR="00C166C2" w:rsidRPr="00C166C2" w:rsidTr="00C166C2">
        <w:trPr>
          <w:trHeight w:val="315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Łącznie 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44 367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3094"/>
      </w:tblGrid>
      <w:tr w:rsidR="00C166C2" w:rsidRPr="00C166C2" w:rsidTr="00C166C2">
        <w:trPr>
          <w:trHeight w:val="526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 lekarzy</w:t>
            </w:r>
          </w:p>
        </w:tc>
      </w:tr>
      <w:tr w:rsidR="00C166C2" w:rsidRPr="00C166C2" w:rsidTr="00C166C2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Liczba lekarzy ogółem,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tym: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</w:tr>
      <w:tr w:rsidR="00C166C2" w:rsidRPr="00C166C2" w:rsidTr="00C166C2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Zatrudnionych na umowę o pracę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C166C2" w:rsidRPr="00C166C2" w:rsidTr="00C166C2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Zatrudnionych w ramach umów cywilno- prawnych,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 tzw. kontraktowi   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</w:tr>
      <w:tr w:rsidR="00C166C2" w:rsidRPr="00C166C2" w:rsidTr="00C166C2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Zatrudnionych w ramach umowy zlecenia lub umowy o dzieło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14"/>
        <w:gridCol w:w="1489"/>
        <w:gridCol w:w="1491"/>
        <w:gridCol w:w="1495"/>
      </w:tblGrid>
      <w:tr w:rsidR="00C166C2" w:rsidRPr="00C166C2" w:rsidTr="00C166C2">
        <w:trPr>
          <w:cantSplit/>
          <w:trHeight w:val="506"/>
          <w:tblHeader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 lekarzy na danym oddziale</w:t>
            </w:r>
          </w:p>
        </w:tc>
      </w:tr>
      <w:tr w:rsidR="00C166C2" w:rsidRPr="00C166C2" w:rsidTr="00C166C2">
        <w:trPr>
          <w:cantSplit/>
          <w:trHeight w:val="506"/>
          <w:tblHeader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15" w:type="pct"/>
            <w:vMerge w:val="restar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Oddział</w:t>
            </w:r>
          </w:p>
        </w:tc>
        <w:tc>
          <w:tcPr>
            <w:tcW w:w="241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lekarzy</w:t>
            </w:r>
          </w:p>
        </w:tc>
      </w:tr>
      <w:tr w:rsidR="00C166C2" w:rsidRPr="00C166C2" w:rsidTr="00C166C2">
        <w:trPr>
          <w:cantSplit/>
          <w:trHeight w:val="506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 stopień specjalizacji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II stopień specjalizacji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Bez  specjalizacji</w:t>
            </w:r>
          </w:p>
        </w:tc>
      </w:tr>
      <w:tr w:rsidR="00C166C2" w:rsidRPr="00C166C2" w:rsidTr="00C166C2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Chorób wewnętrznych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166C2" w:rsidRPr="00C166C2" w:rsidTr="00C166C2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Chirurgiczny ogólny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166C2" w:rsidRPr="00C166C2" w:rsidTr="00C166C2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Chirurgii urazowo-ortopedycznej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C166C2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Ginekologiczny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C166C2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Pediatryczny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C166C2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Terapii uzależnienia od alkoholu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Default="00C166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93"/>
        <w:gridCol w:w="2153"/>
      </w:tblGrid>
      <w:tr w:rsidR="00C166C2" w:rsidRPr="00C166C2" w:rsidTr="00C166C2">
        <w:trPr>
          <w:trHeight w:val="603"/>
          <w:tblHeader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 pozostałego personelu</w:t>
            </w:r>
          </w:p>
        </w:tc>
      </w:tr>
      <w:tr w:rsidR="00C166C2" w:rsidRPr="00C166C2" w:rsidTr="00C166C2">
        <w:trPr>
          <w:trHeight w:val="403"/>
          <w:tblHeader/>
        </w:trPr>
        <w:tc>
          <w:tcPr>
            <w:tcW w:w="3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Liczba </w:t>
            </w:r>
          </w:p>
        </w:tc>
      </w:tr>
      <w:tr w:rsidR="00C166C2" w:rsidRPr="00C166C2" w:rsidTr="00C166C2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Pielęgniarki 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</w:tr>
      <w:tr w:rsidR="00C166C2" w:rsidRPr="00C166C2" w:rsidTr="00C166C2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Położne 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C166C2" w:rsidRPr="00C166C2" w:rsidTr="00C166C2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Pozostały personel medyczny 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</w:tr>
      <w:tr w:rsidR="00C166C2" w:rsidRPr="00C166C2" w:rsidTr="00C166C2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stażystów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C166C2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Liczba wolontariuszy 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166C2" w:rsidRPr="00C166C2" w:rsidTr="00C166C2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Pozostali pracownicy  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</w:tr>
      <w:tr w:rsidR="00C166C2" w:rsidRPr="00C166C2" w:rsidTr="00C166C2">
        <w:trPr>
          <w:trHeight w:val="403"/>
        </w:trPr>
        <w:tc>
          <w:tcPr>
            <w:tcW w:w="3845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Łączna liczba pracowników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26"/>
        <w:gridCol w:w="2426"/>
      </w:tblGrid>
      <w:tr w:rsidR="00C166C2" w:rsidRPr="00C166C2" w:rsidTr="00C166C2">
        <w:trPr>
          <w:trHeight w:val="499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Wykaz oddziałów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łóżek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Wewnętrzny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Chirurgiczny ogólny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Chirurgii urazowo-ortopedycznej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Ginekologiczny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Pediatryczny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Terapii uzależnienia od alkoholu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751"/>
      </w:tblGrid>
      <w:tr w:rsidR="00C166C2" w:rsidRPr="00C166C2" w:rsidTr="00C166C2">
        <w:trPr>
          <w:trHeight w:val="431"/>
          <w:tblHeader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Wykaz poradni specjalistycznych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712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Nazwa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chirurgii ogólnej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otolaryngologiczna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neurologiczna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położniczo - ginekologiczna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endokrynologiczna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chorób zakaźnych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okulistyczna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kardiologiczna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chirurgii urazowo-ortopedycznej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medycyny sportowej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terapii uzależnienia od alkoholu i współuzależnienia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Ośrodek Rehabilitacji Dziennej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Podstawowa Opieka Zdrowotna (nocna i świąteczna pomoc medyczna)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urologiczna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751"/>
      </w:tblGrid>
      <w:tr w:rsidR="00C166C2" w:rsidRPr="00C166C2" w:rsidTr="00C166C2">
        <w:trPr>
          <w:trHeight w:val="41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Wykaz pracowni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4712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Nazwa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USG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rentgenodiagnostyki ogólnej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endoskopii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diagnostyki kardiologicznej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diagnostyki laboratoryjnej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serologii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Bank krwi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938"/>
        <w:gridCol w:w="906"/>
        <w:gridCol w:w="906"/>
      </w:tblGrid>
      <w:tr w:rsidR="00C166C2" w:rsidRPr="00C166C2" w:rsidTr="00C166C2">
        <w:trPr>
          <w:cantSplit/>
          <w:trHeight w:val="586"/>
          <w:tblHeader/>
        </w:trPr>
        <w:tc>
          <w:tcPr>
            <w:tcW w:w="4023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Zakres świadczonych usług</w:t>
            </w:r>
          </w:p>
        </w:tc>
        <w:tc>
          <w:tcPr>
            <w:tcW w:w="488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89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Lecznictwo zamknięte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Lecznictwo otwarte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Pogotowie ratunkowe (tzn. ratownictwo medyczne)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Poradnie specjalistyczne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Zakład pielęgnacyjno – opiekuńczy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specjalistyczna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Apteka szpitalna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Podstawowa opieka medyczna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Fizykoterapia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Stacja dializ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Stacja krwiodawstwa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Transport chorych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Transport organów ludzkich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Zespoły wyjazdowe  (liczba 3)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Higiena szkolna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Wyjazdowa opieka lekarska i pielęgniarska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Nocna i świąteczna opieka ambulatoryjna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Szkoła Rodzenia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837"/>
        <w:gridCol w:w="3102"/>
        <w:gridCol w:w="906"/>
        <w:gridCol w:w="906"/>
      </w:tblGrid>
      <w:tr w:rsidR="00C166C2" w:rsidRPr="00C166C2" w:rsidTr="00C166C2">
        <w:trPr>
          <w:trHeight w:val="498"/>
          <w:tblHeader/>
        </w:trPr>
        <w:tc>
          <w:tcPr>
            <w:tcW w:w="4023" w:type="pct"/>
            <w:gridSpan w:val="3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Czy podmiot leczniczy</w:t>
            </w:r>
          </w:p>
        </w:tc>
        <w:tc>
          <w:tcPr>
            <w:tcW w:w="488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89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laboratorium diagnostyczne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laboratorium mikrobiologiczne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pracownię histopatologiczną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tomograf komputerowy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posiada jądrowy rezonans magnetyczny ?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tomografię pozytonową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eksperymentalne metody leczenia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badania kliniczne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wykonuje procedury wysokospecjalistyczne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wynajmuje pomieszczenia innym podmiotom gospodarczym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działalność pomieszczeniach najmowanych od innych podmiotów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przygotowuje w aptece szpitalnej leki robione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działalność dydaktyczną 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działalność w zakresie doskonalenia zawodowego kadr lekarskich, pielęgniarskich itp.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wykonuje zabiegi chirurgii plastycznej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świadczy usługi sterylizacji dla podmiotów zewnętrznych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bank krwi pępowinowej i bank komórek macierzystych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komisję bioetyczną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przygotowuje posiłki dla pacjentów (we własnym zakresie)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sprzątanie prowadzi firma zewnętrzna?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płatny parking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pojazdy wolnobieżne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cantSplit/>
          <w:trHeight w:val="697"/>
          <w:tblHeader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Lista podwykonawców, którym Szpital powierza wykonanie czynności oraz zabiegów diagnostycznych i/lub medycznych</w:t>
            </w:r>
          </w:p>
        </w:tc>
      </w:tr>
      <w:tr w:rsidR="00C166C2" w:rsidRPr="00C166C2" w:rsidTr="00C166C2">
        <w:trPr>
          <w:cantSplit/>
          <w:trHeight w:val="410"/>
          <w:tblHeader/>
        </w:trPr>
        <w:tc>
          <w:tcPr>
            <w:tcW w:w="2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Zakres usług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Samodzielny Publiczny Zakład Opieki Zdrowotnej Ministerstwa Spraw Wewnętrznych Z Warmińsko-Mazurskim Centrum Onkologii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Afidea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Tomografia komputerowa, rezonans magnetyczny</w:t>
            </w:r>
            <w:r w:rsidRPr="00C166C2">
              <w:rPr>
                <w:sz w:val="22"/>
                <w:szCs w:val="22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PET-CT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Szpital Powiatowy Im. Jana Pawła II W Bartoszycach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obrazowa, zabezpieczenie OIT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Usługa w zakresie diagnostyki laboratoryjnej 9 analityka, mikrobiologia)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Laboratoria Medyczne OPTIMED Kuriata, Wroński Spółka Jawna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Wykonywanie badań laboratoryjnych i mikrobiologicznych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Wojewódzka Stacja Sanitarno-Epidemiologiczna, Laboratorium Badań Epidemiologiczno-Klinicznych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mikrobiologiczna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Wojewódzki Specjalistyczny Szpital Dziecięcy Im. Prof. Dr Stanisława Popowskiego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EMG, EEG, diagnostyka medyczna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Laboratorium Hormonalno-Analityczne Teresa Joanna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Gago</w:t>
            </w:r>
            <w:proofErr w:type="spellEnd"/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laboratoryjne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Regionalne Centrum Krwiodawstwa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 Krwiolecznictwa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Wykonywanie badań laboratoryjnych podstawowych, konsultacyjnych i diagnostycznych z zakresu immunologii transfuzjologicznej i immunopatologii ciąży.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Dostawa krwi i osocza.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Przychodnia Specjalistyczna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laboratoryjne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Wojewódzki Szpital Specjalistyczny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diagnostyczne i laboratoryjne (w tym: mammografii, angiografii, histopatologii, medycyny nuklearnej), Scyntygrafia, GDX,  Tomografia komputerowa, rezonans magnetyczny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"GEERS" Akustyka Słuchu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Audiometria tonalna na przewodnictwo powietrzne i kostne</w:t>
            </w:r>
          </w:p>
        </w:tc>
      </w:tr>
      <w:tr w:rsidR="00C166C2" w:rsidRPr="00C166C2" w:rsidTr="00C166C2">
        <w:trPr>
          <w:cantSplit/>
          <w:trHeight w:val="217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Laboratorium PRZYGODA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laboratoryjne</w:t>
            </w:r>
          </w:p>
        </w:tc>
      </w:tr>
      <w:tr w:rsidR="00C166C2" w:rsidRPr="00C166C2" w:rsidTr="00C166C2">
        <w:trPr>
          <w:cantSplit/>
          <w:trHeight w:val="251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Polkard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Scyntygrafia</w:t>
            </w:r>
          </w:p>
        </w:tc>
      </w:tr>
      <w:tr w:rsidR="00C166C2" w:rsidRPr="00C166C2" w:rsidTr="00C166C2">
        <w:trPr>
          <w:cantSplit/>
          <w:trHeight w:val="170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Poluk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USG, BCC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Konsultacyjno - Terapeutyczna Marta Kopczyńska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Ocena mikroskopowa preparatów cytologicznych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Niepubliczny Zakład Opieki Zdrowotnej Ars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Med</w:t>
            </w:r>
            <w:proofErr w:type="spellEnd"/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Transport sanitarny, specjalistyczny transport medyczny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Samodzielny Publiczny Zespół Gruźlicy I Chorób Płuc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diagnostyczne i laboratoryjne w tym mikrobiologiczne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4D4CD2" w:rsidRDefault="004D4CD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C166C2" w:rsidRPr="00C166C2" w:rsidTr="00C166C2">
        <w:trPr>
          <w:trHeight w:val="4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Certyfikaty i udział w programach jakości</w:t>
            </w:r>
          </w:p>
        </w:tc>
      </w:tr>
      <w:tr w:rsidR="00C166C2" w:rsidRPr="00C166C2" w:rsidTr="00C166C2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color w:val="FF0000"/>
                <w:sz w:val="22"/>
                <w:szCs w:val="22"/>
                <w:lang w:val="en-US" w:eastAsia="en-US"/>
              </w:rPr>
            </w:pPr>
            <w:r w:rsidRPr="00C166C2">
              <w:rPr>
                <w:rFonts w:eastAsia="Calibri"/>
                <w:sz w:val="22"/>
                <w:szCs w:val="22"/>
                <w:lang w:val="en-US" w:eastAsia="en-US"/>
              </w:rPr>
              <w:t>ISO 9001:2008 ISO 9001:2015</w:t>
            </w:r>
          </w:p>
        </w:tc>
      </w:tr>
      <w:tr w:rsidR="00C166C2" w:rsidRPr="00C166C2" w:rsidTr="00C166C2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Certyfikat akredytacyjny - nie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97"/>
        <w:gridCol w:w="6276"/>
        <w:gridCol w:w="1095"/>
        <w:gridCol w:w="1091"/>
      </w:tblGrid>
      <w:tr w:rsidR="00C166C2" w:rsidRPr="00C166C2" w:rsidTr="00C166C2">
        <w:trPr>
          <w:trHeight w:val="79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Informacje na temat oceny ryzyka zakażeń szpitalnych w podmiocie leczniczym w zakresie lecznictwa zamkniętego</w:t>
            </w:r>
          </w:p>
        </w:tc>
      </w:tr>
      <w:tr w:rsidR="00C166C2" w:rsidRPr="00C166C2" w:rsidTr="00C166C2">
        <w:trPr>
          <w:trHeight w:val="35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podmiocie leczniczym opracowane są procedury postępowania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mycia i dezynfekcji rąk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podczas dezynfekcji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podczas sterylizacji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czasie pobierania krwi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 wykonywaniu iniekcji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ze skażonym mat. Biologicznym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ze sprzętem endoskopowym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 zużytym sprzętem jednorazowym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78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podmiot leczniczy posiada myjnię do endoskopów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5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półautomatyczną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5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automatyczną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5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sterylizator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4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rejestrowane są zakażenia szpitalne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3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5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wszystkie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3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5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wybiórczo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8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stwierdzanych rocznie zakażeń szpitalnych w podmiocie leczniczym:</w:t>
            </w:r>
          </w:p>
        </w:tc>
      </w:tr>
      <w:tr w:rsidR="00C166C2" w:rsidRPr="00C166C2" w:rsidTr="00C166C2">
        <w:trPr>
          <w:trHeight w:val="30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gronkowca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0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Krwiopochodnych (tzn. WZW B, WZW C, HIV)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0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innych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podmiot leczniczy zgłasza do Sanepidu zakażenia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 szpitalne/choroby zakaźne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73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krwiopochodne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92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wszystkie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4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Dodatkowe pytania na temat podmiotu leczniczego: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przestrzeganie procedur jest systematycznie kontrolowane?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możliwa jest izolacja pacjentów chorych zakaźnie?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cały personel, który jest narażony na zakażenie WZW jest zaszczepiony przeciwko żółtaczce typu B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(na podstawie dokumentacji w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Zakł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>. Leczniczym)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503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lastRenderedPageBreak/>
              <w:t>Czy w podmiocie leczniczym działa Zespół d/s. Zakażeń Szpitalnych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503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podmiot leczniczy posiada centralną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sterylizatornię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503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używane są sterylizatory narzędzi na suche, gorące powietrze ?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63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prowadzona jest wewnętrzna kontrola procesów sterylizacji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w podmiocie leczniczym używane są puszki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Schimmelbuscha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jako opakowania do sterylizacji ?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do dezynfekcji rąk używany jest środek dezynfekcyjny w dozownikach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Informacje na temat innych opakowań używanych do sterylizacji w podmiocie leczniczym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6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rękawy papierowo – foliowe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6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puszki kontenerowe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6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28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do mycia rąk używane jest mydło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4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kostkach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2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w dozownikach 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cały personel poddawany jest szkoleniom z zakresu zapobiegania infekcjom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4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systematycznie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szkolenie tylko przy przyjęciu do pracy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do kontroli procesów sterylizacji i pracy sterylizatorów używane są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testy paskowe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testy zintegrowane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testy biologiczne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wskaźniki fizyczne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wydruk komputerowy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testy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Bowie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>-Dicka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74"/>
        <w:gridCol w:w="1092"/>
        <w:gridCol w:w="1085"/>
      </w:tblGrid>
      <w:tr w:rsidR="00C166C2" w:rsidRPr="00C166C2" w:rsidTr="00C166C2">
        <w:trPr>
          <w:cantSplit/>
          <w:trHeight w:val="472"/>
          <w:tblHeader/>
        </w:trPr>
        <w:tc>
          <w:tcPr>
            <w:tcW w:w="3827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Dodatkowe pytania na temat podmiotu leczniczego</w:t>
            </w:r>
          </w:p>
        </w:tc>
        <w:tc>
          <w:tcPr>
            <w:tcW w:w="588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sprzęt elektroniczny znajduje się poniżej poziomu gruntu? 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pracownie znajdują się w pomieszczeniach poniżej poziomu gruntu?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podmiot leczniczy planuje realizować  w okresie ubezpieczenia nowe inwestycje?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podmiot leczniczy planuje otwarcie nowych lokalizacji w okresie ubezpieczenia?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cantSplit/>
          <w:trHeight w:val="651"/>
        </w:trPr>
        <w:tc>
          <w:tcPr>
            <w:tcW w:w="288" w:type="pct"/>
            <w:vMerge w:val="restar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przedmiotem ubezpieczenia mienia  są  budynki wyłączone z eksploatacji przez okres dłuższy niż 30 dni 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vMerge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Wykaz pomieszczeń wyłączonych z eksploatacji:</w:t>
            </w: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mienie będące przedmiotem ubezpieczenia lub pozostające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w związku z ubezpieczeniem odpowiedzialności cywilnej jest zabezpieczone w sposób przewidziany obowiązującymi przepisami aktów prawnych w zakresie ochrony przeciwpożarowej, w szczególności:</w:t>
            </w:r>
          </w:p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a) ustawą o ochronie przeciwpożarowej 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2009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178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1380 z późn. zm.);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b) ustawą w sprawie warunków technicznych, jakimi powinny odpowiadać budynki i ich usytuowanie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2002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75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690 z późn. zm.)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rozporządzeniem w sprawie ochrony przeciwpożarowej budynków, innych obiektów budowlanych i terenów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 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2010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109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719 z późn. zm.) ? 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Obiekty budowlane są użytkowane i utrzymywane zgodnie z przepisami prawa budowlanego (Dz. U. z 2010 r. Nr 243 poz. 1623) – Tekst jednolity ustawy Prawo Budowlane 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stanowiska pracy spełniają wymagania dotyczące bezpieczeństwa i higieny pracy  w środowisku pracy, w szczególności zapisane w: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a)  ustawie 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w sprawie minimalnych wymagań, dotyczących bezpieczeństwa i higieny pracy,   związanych z możliwością wystąpienia w miejscu pracy atmosfery wybuchowej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2010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138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931) 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obiekty budowlane oraz wykorzystywane instalacje techniczne podlegają regularnym przeglądom okresowym stanu technicznego i/lub dozorowi technicznemu, wykonywanym przez uprawnione podmioty. W protokołach z dokonanych przeglądów nie stwierdzono zastrzeżeń warunkujących ich użytkowanie.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szczególności przeglądy okresowe dotyczą: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 przydatności do użytkowania obiektu budowlanego, estetyki obiektu budowlanego oraz jego otoczenia;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 sprzętu przeciwpożarowego;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 instalacji elektrycznej i odgromowej;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 instalacji gazowej;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 przewodów kominowych (dymowe, spalinowe, wentylacyjne);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f) instalacji gazów medycznych;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g) instalacji wodociągowa przeciwpożarowa;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h) instalacji ciśnieniowych;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i) urządzeń dźwigowych.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br w:type="page"/>
      </w: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13"/>
        <w:gridCol w:w="1534"/>
        <w:gridCol w:w="1534"/>
        <w:gridCol w:w="1533"/>
      </w:tblGrid>
      <w:tr w:rsidR="00C166C2" w:rsidRPr="00C166C2" w:rsidTr="00C166C2">
        <w:trPr>
          <w:cantSplit/>
          <w:trHeight w:val="733"/>
          <w:tblHeader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Opis obiektów, w którym znajduję się ubezpieczone mienie       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1 / adres: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2 / adres: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3 / adres:</w:t>
            </w: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Adresy lokalizacji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11-100 Lidzbark Warmiński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ul. Bartoszycka 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11-100 Lidzbark Warmiński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ul. 11 Listopada 15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Tytuł prawny do zajmowanej nieruchomości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użytkowanie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użytkowanie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Rok budowy budynku 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ok. 1900 r.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ok. 1970 r.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obiekt posiada końcowy odbiór techniczny?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w obiekcie dokonywane były remonty lub modernizacje? Jeśli tak proszę wymienić wykonane prace.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Termomodernizacja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Termomodernizacja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Kondygnacja ilość / która?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Powierzchnia użytkowa budynku /lokalu w m</w:t>
            </w:r>
            <w:r w:rsidRPr="00C166C2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3.762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1.520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MEDIA: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Ogrzewanie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Miejskie/gazowe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kotłownia</w:t>
            </w:r>
          </w:p>
        </w:tc>
      </w:tr>
      <w:tr w:rsidR="00C166C2" w:rsidRPr="00C166C2" w:rsidTr="00C166C2">
        <w:trPr>
          <w:cantSplit/>
          <w:trHeight w:val="28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Kotłownia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jest w oddzielnym budynku?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jest instalacja gazowa 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są założone czujki gazu?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Zaopatrzenie w wodę 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miejskie/własne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Instalacje elektryczne jednofazowe lub trój fazowe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trójfazowa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trójfazowa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Data ostatniej kontroli instalacji elektrycznej i izolacji odgromowej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Luty 2016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Luty 2016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ŚCIANY ZEWNĘTRZNE: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stalowa osłonięta blachą i ocieplona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Murowane, cegła pełna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Murowane,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suporeks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>, izolacja styropian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9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elementy drewniane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Konstrukcja dachu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1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murowane (cegła/pustak)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cegła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suporeks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zabudowane blachą bez ocieplenia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STROPY:</w:t>
            </w: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betonowe/ żelbetowe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betonowe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żelbetowe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murowane (cegła/pustak)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pustak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stalowe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elementy drewniane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DACH:</w:t>
            </w:r>
          </w:p>
        </w:tc>
      </w:tr>
      <w:tr w:rsidR="00C166C2" w:rsidRPr="00C166C2" w:rsidTr="00C166C2">
        <w:trPr>
          <w:cantSplit/>
          <w:trHeight w:val="51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dachu żelbetowa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dachu drewniana lub z elementami z drewna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dachu stalowa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Pokrycie dachówką ceramiczną lub cementową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Pokrycie papą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f)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Pokrycie blachą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Izolacja dachu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Wełna mineralna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POŁOŻENIE I SĄSIEDZTWO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w 1997r. i później w wymienionych lokalizacjach wystąpiła powódź lub podtopienia?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Odległość budynków od najbliższej rzeki lub zbiornika wodnego w km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0,3 km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istnieje zagrożenie pożarem lub eksplozją ze strony podmiotów gospodarczych zlokalizowanych w sąsiedztwie - jeśli tak prosimy o podanie profilu działalności i rodzaju zagrożenia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br w:type="page"/>
      </w: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167"/>
        <w:gridCol w:w="1630"/>
        <w:gridCol w:w="1486"/>
        <w:gridCol w:w="1486"/>
      </w:tblGrid>
      <w:tr w:rsidR="00C166C2" w:rsidRPr="00C166C2" w:rsidTr="00C166C2">
        <w:trPr>
          <w:cantSplit/>
          <w:trHeight w:val="733"/>
          <w:tblHeader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Zabezpieczenia przeciwpożarowe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1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2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3</w:t>
            </w:r>
          </w:p>
        </w:tc>
      </w:tr>
      <w:tr w:rsidR="00C166C2" w:rsidRPr="00C166C2" w:rsidTr="00C166C2">
        <w:trPr>
          <w:cantSplit/>
          <w:trHeight w:val="69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Hydranty zewnętrzne –podziemne lub nadziemne 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-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proszę napisać TAK (i  podać ilość) lub NIE 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Hydranty wewnętrzne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napisać TAK (i  podać ilość) lub NIE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9 szt.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GAŚNICE:</w:t>
            </w: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rodzaj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proszkowe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proszkowe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data ostatniej kontroli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Lipiec 2016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Lipiec 2016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3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Inne źródła wody: staw, zbiornik przeciwpożarowy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Detektory (czujniki) dymu. 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Budynki / miejsca, w których są zainstalowane.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Medyczne Laboratorium Diagnostyczne,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Oddział terapii uzależnienia od alkoholu,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strych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Czujniki temperatury.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Budynki / miejsca, w których są zainstalowane.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Oddział terapii uzależnienia od alkoholu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Instalacja tryskaczowa.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Budynki / miejsca, w których jest zainstalowana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PAŃSTWOWA STRAŻ POŻARNA</w:t>
            </w:r>
          </w:p>
        </w:tc>
      </w:tr>
      <w:tr w:rsidR="00C166C2" w:rsidRPr="00C166C2" w:rsidTr="00C166C2">
        <w:trPr>
          <w:cantSplit/>
          <w:trHeight w:val="3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odległość od najbliższej jednostki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1,5 km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szacunkowy czas dojazdu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 min.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 min.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PALENIE TYTONIU: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w wymienionych lokalizacjach obowiązuje zakaz palenia tytoniu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napisać TAK lub NIE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są wydzielone miejsca do palenia tytoniu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napisać TAK lub NIE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167"/>
        <w:gridCol w:w="1534"/>
        <w:gridCol w:w="1534"/>
        <w:gridCol w:w="1534"/>
      </w:tblGrid>
      <w:tr w:rsidR="00C166C2" w:rsidRPr="00C166C2" w:rsidTr="00C166C2">
        <w:trPr>
          <w:cantSplit/>
          <w:trHeight w:val="733"/>
          <w:tblHeader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Zabezpieczenia przeciw kradzieżowe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2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3</w:t>
            </w:r>
          </w:p>
        </w:tc>
      </w:tr>
      <w:tr w:rsidR="00C166C2" w:rsidRPr="00C166C2" w:rsidTr="00C166C2">
        <w:trPr>
          <w:cantSplit/>
          <w:trHeight w:val="69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Wszystkie drzwi i okna są w należytym stanie technicznym uniemożliwiającym włamanie  i wyważenie bez użycia siły  i narzędzi 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Wszystkie drzwi są zamknięte </w:t>
            </w:r>
            <w:r w:rsidRPr="00C166C2"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  <w:t>na dwa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zamki wielozastawkowe lub jeden zamek antywłamaniowy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Wszystkie drzwi są zamknięte</w:t>
            </w:r>
            <w:r w:rsidRPr="00C166C2"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  <w:t xml:space="preserve"> na jeden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zamek wielozastawkowy lub jeden zamek antywłamaniowy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Drzwi antywłamaniowe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Okna (zaznaczyć parter, piętro, inne) zabezpieczone są (właściwe wskazać): kratami stalowymi, roletami, kratami żaluzjowymi, szybami klasy P2, P3 lub większej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Dozór pośredni lokalu (agencja ochrony po drugiej stronie ulicy)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3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STAŁY DOZÓR ubezpieczonej lokalizacji:</w:t>
            </w:r>
          </w:p>
        </w:tc>
      </w:tr>
      <w:tr w:rsidR="00C166C2" w:rsidRPr="00C166C2" w:rsidTr="00C166C2">
        <w:trPr>
          <w:cantSplit/>
          <w:trHeight w:val="45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miejsce dozorowania wewnątrz/ zewnątrz?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wewnątrz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5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całodobowy TAK/ NIE 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SYSTEMY ANTYWŁAMANIOWE:</w:t>
            </w: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bottom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czujki ruchu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PROSZĘ PODAĆ miejsca objęte detekcją ruchu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3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bottom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sygnalizacja alarmu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PROSZĘ PODAĆ akustyczna, optyczna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dalsze przekazanie sygnału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PODAĆ do kogo: agencja ochrony, na policję, do osób trzecich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czas dojazdu załogi interwencyjnej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kontrola otwarcia drzwi, okien - styki magnetyczne, czujki rozbicia szkła, inne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57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Ogrodzenie całego terenu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57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Oświetlenie całego terenu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245"/>
        <w:gridCol w:w="1560"/>
        <w:gridCol w:w="1466"/>
        <w:gridCol w:w="1579"/>
      </w:tblGrid>
      <w:tr w:rsidR="00C166C2" w:rsidRPr="00C166C2" w:rsidTr="00C166C2">
        <w:trPr>
          <w:cantSplit/>
          <w:trHeight w:val="6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SPOSÓB PRZECHOWYWANIA WARTOŚCI PIENIĘŻNYCH</w:t>
            </w: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Kasa pancerna przytwierdzona do podłoża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b) 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Kasa pancerna nieprzytwierdzona do podłoża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sejf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Inny (podać jaki)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sectPr w:rsidR="00C166C2" w:rsidRPr="00C166C2" w:rsidSect="00F775FF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C2" w:rsidRDefault="00C166C2">
      <w:r>
        <w:separator/>
      </w:r>
    </w:p>
  </w:endnote>
  <w:endnote w:type="continuationSeparator" w:id="0">
    <w:p w:rsidR="00C166C2" w:rsidRDefault="00C1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C2" w:rsidRDefault="00C166C2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53961678" wp14:editId="3FE8CE6A">
          <wp:extent cx="5752465" cy="690880"/>
          <wp:effectExtent l="0" t="0" r="635" b="0"/>
          <wp:docPr id="2" name="Obraz 2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614383A9" wp14:editId="761ECB59">
          <wp:extent cx="5752465" cy="690880"/>
          <wp:effectExtent l="0" t="0" r="635" b="0"/>
          <wp:docPr id="3" name="Obraz 3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6C2" w:rsidRDefault="00C166C2"/>
  <w:p w:rsidR="00C166C2" w:rsidRDefault="00C166C2"/>
  <w:p w:rsidR="00C166C2" w:rsidRDefault="00C166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C2" w:rsidRPr="00AF10C3" w:rsidRDefault="008F198C" w:rsidP="00AF10C3">
    <w:pPr>
      <w:tabs>
        <w:tab w:val="center" w:pos="4536"/>
        <w:tab w:val="right" w:pos="9072"/>
      </w:tabs>
      <w:spacing w:after="120"/>
      <w:jc w:val="center"/>
      <w:rPr>
        <w:rFonts w:eastAsia="Calibri"/>
        <w:b/>
        <w:color w:val="B9A829"/>
        <w:sz w:val="16"/>
        <w:szCs w:val="16"/>
        <w:shd w:val="clear" w:color="auto" w:fill="B9A829"/>
        <w:lang w:eastAsia="en-US"/>
      </w:rPr>
    </w:pPr>
    <w:r>
      <w:rPr>
        <w:rFonts w:ascii="Verdana" w:eastAsia="Calibri" w:hAnsi="Verdana"/>
        <w:b/>
        <w:color w:val="B9A829"/>
        <w:sz w:val="2"/>
        <w:szCs w:val="22"/>
        <w:lang w:eastAsia="en-US"/>
      </w:rPr>
      <w:pict>
        <v:rect id="_x0000_i1025" style="width:453.6pt;height:1pt" o:hralign="center" o:hrstd="t" o:hrnoshade="t" o:hr="t" fillcolor="black" stroked="f"/>
      </w:pict>
    </w:r>
  </w:p>
  <w:p w:rsidR="00C166C2" w:rsidRPr="002D2B2C" w:rsidRDefault="00C166C2" w:rsidP="002D2B2C">
    <w:pPr>
      <w:tabs>
        <w:tab w:val="left" w:pos="218"/>
        <w:tab w:val="center" w:pos="4535"/>
        <w:tab w:val="right" w:pos="9072"/>
      </w:tabs>
      <w:spacing w:after="240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ab/>
    </w:r>
    <w:r w:rsidR="008F198C" w:rsidRPr="008F198C">
      <w:rPr>
        <w:rFonts w:eastAsia="Calibri"/>
        <w:sz w:val="20"/>
        <w:szCs w:val="20"/>
        <w:lang w:eastAsia="en-US"/>
      </w:rPr>
      <w:t>ZOZ.V-270-14/ZP/19</w:t>
    </w:r>
    <w:r>
      <w:rPr>
        <w:rFonts w:eastAsia="Calibri"/>
        <w:sz w:val="20"/>
        <w:szCs w:val="20"/>
        <w:lang w:eastAsia="en-US"/>
      </w:rPr>
      <w:tab/>
    </w:r>
    <w:r w:rsidRPr="00A63EF8">
      <w:rPr>
        <w:rFonts w:eastAsia="Calibri"/>
        <w:sz w:val="20"/>
        <w:szCs w:val="20"/>
        <w:lang w:eastAsia="en-US"/>
      </w:rPr>
      <w:t xml:space="preserve">Strona </w:t>
    </w:r>
    <w:r w:rsidRPr="00A63EF8">
      <w:rPr>
        <w:rFonts w:eastAsia="Calibri"/>
        <w:sz w:val="20"/>
        <w:szCs w:val="20"/>
        <w:lang w:eastAsia="en-US"/>
      </w:rPr>
      <w:fldChar w:fldCharType="begin"/>
    </w:r>
    <w:r w:rsidRPr="00A63EF8">
      <w:rPr>
        <w:rFonts w:eastAsia="Calibri"/>
        <w:sz w:val="20"/>
        <w:szCs w:val="20"/>
        <w:lang w:eastAsia="en-US"/>
      </w:rPr>
      <w:instrText>PAGE</w:instrText>
    </w:r>
    <w:r w:rsidRPr="00A63EF8">
      <w:rPr>
        <w:rFonts w:eastAsia="Calibri"/>
        <w:sz w:val="20"/>
        <w:szCs w:val="20"/>
        <w:lang w:eastAsia="en-US"/>
      </w:rPr>
      <w:fldChar w:fldCharType="separate"/>
    </w:r>
    <w:r w:rsidR="008F198C">
      <w:rPr>
        <w:rFonts w:eastAsia="Calibri"/>
        <w:noProof/>
        <w:sz w:val="20"/>
        <w:szCs w:val="20"/>
        <w:lang w:eastAsia="en-US"/>
      </w:rPr>
      <w:t>13</w:t>
    </w:r>
    <w:r w:rsidRPr="00A63EF8">
      <w:rPr>
        <w:rFonts w:eastAsia="Calibri"/>
        <w:sz w:val="20"/>
        <w:szCs w:val="20"/>
        <w:lang w:eastAsia="en-US"/>
      </w:rPr>
      <w:fldChar w:fldCharType="end"/>
    </w:r>
    <w:r w:rsidRPr="00A63EF8">
      <w:rPr>
        <w:rFonts w:eastAsia="Calibri"/>
        <w:sz w:val="20"/>
        <w:szCs w:val="20"/>
        <w:lang w:eastAsia="en-US"/>
      </w:rPr>
      <w:t xml:space="preserve"> z </w:t>
    </w:r>
    <w:r w:rsidRPr="00A63EF8">
      <w:rPr>
        <w:rFonts w:eastAsia="Calibri"/>
        <w:sz w:val="20"/>
        <w:szCs w:val="20"/>
        <w:lang w:eastAsia="en-US"/>
      </w:rPr>
      <w:fldChar w:fldCharType="begin"/>
    </w:r>
    <w:r w:rsidRPr="00A63EF8">
      <w:rPr>
        <w:rFonts w:eastAsia="Calibri"/>
        <w:sz w:val="20"/>
        <w:szCs w:val="20"/>
        <w:lang w:eastAsia="en-US"/>
      </w:rPr>
      <w:instrText>NUMPAGES</w:instrText>
    </w:r>
    <w:r w:rsidRPr="00A63EF8">
      <w:rPr>
        <w:rFonts w:eastAsia="Calibri"/>
        <w:sz w:val="20"/>
        <w:szCs w:val="20"/>
        <w:lang w:eastAsia="en-US"/>
      </w:rPr>
      <w:fldChar w:fldCharType="separate"/>
    </w:r>
    <w:r w:rsidR="008F198C">
      <w:rPr>
        <w:rFonts w:eastAsia="Calibri"/>
        <w:noProof/>
        <w:sz w:val="20"/>
        <w:szCs w:val="20"/>
        <w:lang w:eastAsia="en-US"/>
      </w:rPr>
      <w:t>13</w:t>
    </w:r>
    <w:r w:rsidRPr="00A63EF8">
      <w:rPr>
        <w:rFonts w:eastAsia="Calibri"/>
        <w:sz w:val="20"/>
        <w:szCs w:val="20"/>
        <w:lang w:eastAsia="en-US"/>
      </w:rPr>
      <w:fldChar w:fldCharType="end"/>
    </w:r>
    <w:r>
      <w:rPr>
        <w:rFonts w:eastAsia="Calibri"/>
        <w:sz w:val="20"/>
        <w:szCs w:val="20"/>
        <w:lang w:eastAsia="en-US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C2" w:rsidRDefault="00C166C2">
      <w:r>
        <w:separator/>
      </w:r>
    </w:p>
  </w:footnote>
  <w:footnote w:type="continuationSeparator" w:id="0">
    <w:p w:rsidR="00C166C2" w:rsidRDefault="00C1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C2" w:rsidRDefault="00C166C2" w:rsidP="00657679">
    <w:pPr>
      <w:pStyle w:val="Nagwek"/>
      <w:tabs>
        <w:tab w:val="clear" w:pos="4536"/>
        <w:tab w:val="center" w:pos="2835"/>
        <w:tab w:val="left" w:pos="3544"/>
      </w:tabs>
      <w:ind w:right="-576"/>
      <w:rPr>
        <w:sz w:val="16"/>
        <w:szCs w:val="16"/>
      </w:rPr>
    </w:pPr>
  </w:p>
  <w:p w:rsidR="00C166C2" w:rsidRPr="00A63EF8" w:rsidRDefault="00C166C2" w:rsidP="00A63EF8">
    <w:pPr>
      <w:tabs>
        <w:tab w:val="center" w:pos="4536"/>
        <w:tab w:val="right" w:pos="9072"/>
      </w:tabs>
      <w:spacing w:after="120"/>
      <w:jc w:val="right"/>
      <w:rPr>
        <w:rFonts w:ascii="Verdana" w:eastAsia="Calibri" w:hAnsi="Verdana"/>
        <w:b/>
        <w:color w:val="B9A829"/>
        <w:sz w:val="20"/>
        <w:szCs w:val="20"/>
        <w:shd w:val="clear" w:color="auto" w:fill="B9A829"/>
        <w:lang w:eastAsia="en-US"/>
      </w:rPr>
    </w:pPr>
    <w:r w:rsidRPr="00A63EF8">
      <w:rPr>
        <w:rFonts w:eastAsia="Calibri"/>
        <w:sz w:val="20"/>
        <w:szCs w:val="20"/>
        <w:lang w:eastAsia="en-US"/>
      </w:rPr>
      <w:t xml:space="preserve">Załącznik nr </w:t>
    </w:r>
    <w:r>
      <w:rPr>
        <w:rFonts w:eastAsia="Calibri"/>
        <w:sz w:val="20"/>
        <w:szCs w:val="20"/>
        <w:lang w:eastAsia="en-US"/>
      </w:rPr>
      <w:t xml:space="preserve">2 do SIWZ </w:t>
    </w:r>
  </w:p>
  <w:p w:rsidR="00C166C2" w:rsidRDefault="00C166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5DC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A36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04F1"/>
    <w:multiLevelType w:val="hybridMultilevel"/>
    <w:tmpl w:val="EC3A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6CDB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71B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614B"/>
    <w:multiLevelType w:val="hybridMultilevel"/>
    <w:tmpl w:val="AB58DB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61E5"/>
    <w:multiLevelType w:val="hybridMultilevel"/>
    <w:tmpl w:val="92B6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826E2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241D8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169D1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51C49"/>
    <w:multiLevelType w:val="hybridMultilevel"/>
    <w:tmpl w:val="8B525F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95007"/>
    <w:multiLevelType w:val="hybridMultilevel"/>
    <w:tmpl w:val="FC469160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5E0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4133"/>
    <w:multiLevelType w:val="hybridMultilevel"/>
    <w:tmpl w:val="EC3A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57A9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67EF5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D3350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E4131"/>
    <w:multiLevelType w:val="hybridMultilevel"/>
    <w:tmpl w:val="C53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90867"/>
    <w:multiLevelType w:val="hybridMultilevel"/>
    <w:tmpl w:val="2654D8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5E646D2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A5D31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E0906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74E29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27A83"/>
    <w:multiLevelType w:val="hybridMultilevel"/>
    <w:tmpl w:val="6DF6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4"/>
    <w:rsid w:val="00001B37"/>
    <w:rsid w:val="00005DF5"/>
    <w:rsid w:val="0002664C"/>
    <w:rsid w:val="0003598C"/>
    <w:rsid w:val="000361B9"/>
    <w:rsid w:val="00040890"/>
    <w:rsid w:val="000505C0"/>
    <w:rsid w:val="00072402"/>
    <w:rsid w:val="00075439"/>
    <w:rsid w:val="000778DC"/>
    <w:rsid w:val="00083195"/>
    <w:rsid w:val="0008790E"/>
    <w:rsid w:val="00093B42"/>
    <w:rsid w:val="000D301E"/>
    <w:rsid w:val="000D6A05"/>
    <w:rsid w:val="000E3591"/>
    <w:rsid w:val="000F63A4"/>
    <w:rsid w:val="000F6603"/>
    <w:rsid w:val="00122238"/>
    <w:rsid w:val="00122CDB"/>
    <w:rsid w:val="0013303E"/>
    <w:rsid w:val="00164EE8"/>
    <w:rsid w:val="00167851"/>
    <w:rsid w:val="00181B62"/>
    <w:rsid w:val="001A250E"/>
    <w:rsid w:val="001A35F1"/>
    <w:rsid w:val="001A6A51"/>
    <w:rsid w:val="001D4E32"/>
    <w:rsid w:val="00217826"/>
    <w:rsid w:val="00220A02"/>
    <w:rsid w:val="0022628F"/>
    <w:rsid w:val="00236F8F"/>
    <w:rsid w:val="00246C1F"/>
    <w:rsid w:val="002620C6"/>
    <w:rsid w:val="00264171"/>
    <w:rsid w:val="00266A10"/>
    <w:rsid w:val="00292421"/>
    <w:rsid w:val="00297DF0"/>
    <w:rsid w:val="002A7664"/>
    <w:rsid w:val="002C3BA7"/>
    <w:rsid w:val="002D2B2C"/>
    <w:rsid w:val="002E0EB3"/>
    <w:rsid w:val="002E1EB8"/>
    <w:rsid w:val="002E534E"/>
    <w:rsid w:val="002E5853"/>
    <w:rsid w:val="003066E8"/>
    <w:rsid w:val="0033728A"/>
    <w:rsid w:val="00354BA9"/>
    <w:rsid w:val="003639CE"/>
    <w:rsid w:val="0036720D"/>
    <w:rsid w:val="003A23F5"/>
    <w:rsid w:val="003B34E5"/>
    <w:rsid w:val="003C0231"/>
    <w:rsid w:val="003C1CDE"/>
    <w:rsid w:val="003C276E"/>
    <w:rsid w:val="003C5EE6"/>
    <w:rsid w:val="003D0C86"/>
    <w:rsid w:val="003D7B7E"/>
    <w:rsid w:val="003F6A2D"/>
    <w:rsid w:val="00400964"/>
    <w:rsid w:val="00423979"/>
    <w:rsid w:val="00427342"/>
    <w:rsid w:val="00435B5C"/>
    <w:rsid w:val="0043666B"/>
    <w:rsid w:val="00437526"/>
    <w:rsid w:val="00442A73"/>
    <w:rsid w:val="00456479"/>
    <w:rsid w:val="00472A9E"/>
    <w:rsid w:val="00483349"/>
    <w:rsid w:val="00497046"/>
    <w:rsid w:val="004A2B78"/>
    <w:rsid w:val="004B2232"/>
    <w:rsid w:val="004C36BE"/>
    <w:rsid w:val="004D4CD2"/>
    <w:rsid w:val="004E3C52"/>
    <w:rsid w:val="004E4082"/>
    <w:rsid w:val="00507696"/>
    <w:rsid w:val="00512967"/>
    <w:rsid w:val="00537F9D"/>
    <w:rsid w:val="005551BE"/>
    <w:rsid w:val="005553FA"/>
    <w:rsid w:val="00573CC7"/>
    <w:rsid w:val="00576C76"/>
    <w:rsid w:val="005C39F5"/>
    <w:rsid w:val="005C4E0B"/>
    <w:rsid w:val="005C6FA8"/>
    <w:rsid w:val="005F1347"/>
    <w:rsid w:val="00624A67"/>
    <w:rsid w:val="00630614"/>
    <w:rsid w:val="00640000"/>
    <w:rsid w:val="00644CCA"/>
    <w:rsid w:val="00657679"/>
    <w:rsid w:val="00686726"/>
    <w:rsid w:val="00687B2A"/>
    <w:rsid w:val="00691280"/>
    <w:rsid w:val="006B104D"/>
    <w:rsid w:val="006B1AAD"/>
    <w:rsid w:val="006C0415"/>
    <w:rsid w:val="006C2234"/>
    <w:rsid w:val="006D7AD2"/>
    <w:rsid w:val="006E277D"/>
    <w:rsid w:val="006E520D"/>
    <w:rsid w:val="00711B1C"/>
    <w:rsid w:val="007172B1"/>
    <w:rsid w:val="00737B3A"/>
    <w:rsid w:val="007464C0"/>
    <w:rsid w:val="00755BDC"/>
    <w:rsid w:val="007642F3"/>
    <w:rsid w:val="00767C05"/>
    <w:rsid w:val="007B5555"/>
    <w:rsid w:val="007C0C8B"/>
    <w:rsid w:val="007D0435"/>
    <w:rsid w:val="008134C9"/>
    <w:rsid w:val="00814759"/>
    <w:rsid w:val="0084002F"/>
    <w:rsid w:val="00841E07"/>
    <w:rsid w:val="00854173"/>
    <w:rsid w:val="008738DD"/>
    <w:rsid w:val="008746F0"/>
    <w:rsid w:val="0089062E"/>
    <w:rsid w:val="008909CF"/>
    <w:rsid w:val="00892A72"/>
    <w:rsid w:val="008B65B8"/>
    <w:rsid w:val="008C37B2"/>
    <w:rsid w:val="008D0F43"/>
    <w:rsid w:val="008E0327"/>
    <w:rsid w:val="008F198C"/>
    <w:rsid w:val="009040C8"/>
    <w:rsid w:val="00914F2E"/>
    <w:rsid w:val="00920501"/>
    <w:rsid w:val="00924D2F"/>
    <w:rsid w:val="00945770"/>
    <w:rsid w:val="00974B96"/>
    <w:rsid w:val="00986F61"/>
    <w:rsid w:val="00987D42"/>
    <w:rsid w:val="009C2C86"/>
    <w:rsid w:val="009D2ADE"/>
    <w:rsid w:val="009F14DA"/>
    <w:rsid w:val="009F5865"/>
    <w:rsid w:val="00A044AB"/>
    <w:rsid w:val="00A0471F"/>
    <w:rsid w:val="00A11A5F"/>
    <w:rsid w:val="00A2239E"/>
    <w:rsid w:val="00A234EC"/>
    <w:rsid w:val="00A24F2B"/>
    <w:rsid w:val="00A36DEC"/>
    <w:rsid w:val="00A4120D"/>
    <w:rsid w:val="00A55BE0"/>
    <w:rsid w:val="00A5727A"/>
    <w:rsid w:val="00A63EF8"/>
    <w:rsid w:val="00A91313"/>
    <w:rsid w:val="00A91CD9"/>
    <w:rsid w:val="00AA69CC"/>
    <w:rsid w:val="00AA7F1B"/>
    <w:rsid w:val="00AB09E1"/>
    <w:rsid w:val="00AB689E"/>
    <w:rsid w:val="00AC11D9"/>
    <w:rsid w:val="00AE4A8E"/>
    <w:rsid w:val="00AF10C3"/>
    <w:rsid w:val="00B06A82"/>
    <w:rsid w:val="00B16561"/>
    <w:rsid w:val="00B16726"/>
    <w:rsid w:val="00B2348C"/>
    <w:rsid w:val="00B33290"/>
    <w:rsid w:val="00B36A15"/>
    <w:rsid w:val="00B63C05"/>
    <w:rsid w:val="00B64052"/>
    <w:rsid w:val="00B766E8"/>
    <w:rsid w:val="00B956A2"/>
    <w:rsid w:val="00B962C4"/>
    <w:rsid w:val="00BB5E68"/>
    <w:rsid w:val="00BB7284"/>
    <w:rsid w:val="00BC22F6"/>
    <w:rsid w:val="00BC7528"/>
    <w:rsid w:val="00BE6DA3"/>
    <w:rsid w:val="00C166C2"/>
    <w:rsid w:val="00C205B4"/>
    <w:rsid w:val="00C232A4"/>
    <w:rsid w:val="00C2684F"/>
    <w:rsid w:val="00C3055F"/>
    <w:rsid w:val="00C329FC"/>
    <w:rsid w:val="00CA57EE"/>
    <w:rsid w:val="00CC46BA"/>
    <w:rsid w:val="00CD400D"/>
    <w:rsid w:val="00CF62D9"/>
    <w:rsid w:val="00CF73D0"/>
    <w:rsid w:val="00D036F1"/>
    <w:rsid w:val="00D274A2"/>
    <w:rsid w:val="00D30606"/>
    <w:rsid w:val="00D376DD"/>
    <w:rsid w:val="00D601C6"/>
    <w:rsid w:val="00D74042"/>
    <w:rsid w:val="00D7700C"/>
    <w:rsid w:val="00D866A8"/>
    <w:rsid w:val="00DA218A"/>
    <w:rsid w:val="00DA616A"/>
    <w:rsid w:val="00DC77F6"/>
    <w:rsid w:val="00DD5536"/>
    <w:rsid w:val="00DF11D0"/>
    <w:rsid w:val="00E113C3"/>
    <w:rsid w:val="00E11D57"/>
    <w:rsid w:val="00E17002"/>
    <w:rsid w:val="00E17BAD"/>
    <w:rsid w:val="00E22B69"/>
    <w:rsid w:val="00E24121"/>
    <w:rsid w:val="00E30C15"/>
    <w:rsid w:val="00E367DA"/>
    <w:rsid w:val="00E369B6"/>
    <w:rsid w:val="00E53A71"/>
    <w:rsid w:val="00E844EB"/>
    <w:rsid w:val="00E87E7F"/>
    <w:rsid w:val="00E954D4"/>
    <w:rsid w:val="00EB2D8F"/>
    <w:rsid w:val="00EB7968"/>
    <w:rsid w:val="00EC4DDB"/>
    <w:rsid w:val="00EC6956"/>
    <w:rsid w:val="00EE732B"/>
    <w:rsid w:val="00EF3404"/>
    <w:rsid w:val="00F062ED"/>
    <w:rsid w:val="00F133B8"/>
    <w:rsid w:val="00F31C4F"/>
    <w:rsid w:val="00F32E6E"/>
    <w:rsid w:val="00F460F1"/>
    <w:rsid w:val="00F51283"/>
    <w:rsid w:val="00F650D4"/>
    <w:rsid w:val="00F775FF"/>
    <w:rsid w:val="00F77D41"/>
    <w:rsid w:val="00F97420"/>
    <w:rsid w:val="00FA1E55"/>
    <w:rsid w:val="00FB7601"/>
    <w:rsid w:val="00FC748D"/>
    <w:rsid w:val="00FD1E72"/>
    <w:rsid w:val="00FF028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A05"/>
    <w:pPr>
      <w:keepNext/>
      <w:keepLines/>
      <w:spacing w:before="20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0D6A05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D6A05"/>
  </w:style>
  <w:style w:type="character" w:customStyle="1" w:styleId="Nagwek1Znak">
    <w:name w:val="Nagłówek 1 Znak"/>
    <w:link w:val="Nagwek1"/>
    <w:uiPriority w:val="9"/>
    <w:rsid w:val="000D6A05"/>
    <w:rPr>
      <w:rFonts w:ascii="Arial" w:hAnsi="Arial" w:cs="Arial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6A05"/>
    <w:pPr>
      <w:keepLines/>
      <w:spacing w:before="480" w:after="0" w:line="276" w:lineRule="auto"/>
      <w:jc w:val="center"/>
      <w:outlineLvl w:val="9"/>
    </w:pPr>
    <w:rPr>
      <w:rFonts w:ascii="Verdana" w:hAnsi="Verdana" w:cs="Times New Roman"/>
      <w:b w:val="0"/>
      <w:kern w:val="0"/>
      <w:sz w:val="4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220"/>
      <w:jc w:val="both"/>
    </w:pPr>
    <w:rPr>
      <w:rFonts w:ascii="Verdana" w:hAnsi="Verdana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D6A05"/>
    <w:pPr>
      <w:tabs>
        <w:tab w:val="right" w:leader="dot" w:pos="9062"/>
      </w:tabs>
      <w:spacing w:after="100" w:line="276" w:lineRule="auto"/>
      <w:jc w:val="both"/>
    </w:pPr>
    <w:rPr>
      <w:rFonts w:ascii="Verdana" w:hAnsi="Verdana"/>
      <w:noProof/>
      <w:sz w:val="20"/>
      <w:szCs w:val="20"/>
      <w:u w:val="single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440"/>
      <w:jc w:val="both"/>
    </w:pPr>
    <w:rPr>
      <w:rFonts w:ascii="Verdana" w:hAnsi="Verdana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0D6A05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D6A05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D6A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A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0D6A05"/>
    <w:rPr>
      <w:rFonts w:ascii="Verdana" w:eastAsia="Calibri" w:hAnsi="Verdana"/>
      <w:b/>
      <w:szCs w:val="22"/>
      <w:u w:val="single"/>
      <w:lang w:eastAsia="en-US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0D6A05"/>
    <w:rPr>
      <w:rFonts w:ascii="Verdana" w:eastAsia="Calibri" w:hAnsi="Verdana"/>
      <w:b/>
      <w:szCs w:val="22"/>
      <w:u w:val="single"/>
      <w:lang w:val="pl-PL" w:eastAsia="en-US" w:bidi="ar-SA"/>
    </w:rPr>
  </w:style>
  <w:style w:type="paragraph" w:customStyle="1" w:styleId="Default">
    <w:name w:val="Default"/>
    <w:rsid w:val="000D6A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D6A05"/>
    <w:rPr>
      <w:rFonts w:ascii="Verdana" w:eastAsia="Calibri" w:hAnsi="Verdana"/>
      <w:lang w:eastAsia="en-US"/>
    </w:rPr>
  </w:style>
  <w:style w:type="character" w:styleId="Odwoanieprzypisukocowego">
    <w:name w:val="endnote reference"/>
    <w:uiPriority w:val="99"/>
    <w:unhideWhenUsed/>
    <w:rsid w:val="000D6A05"/>
    <w:rPr>
      <w:vertAlign w:val="superscript"/>
    </w:rPr>
  </w:style>
  <w:style w:type="character" w:styleId="Odwoaniedokomentarza">
    <w:name w:val="annotation reference"/>
    <w:uiPriority w:val="99"/>
    <w:unhideWhenUsed/>
    <w:rsid w:val="000D6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D6A05"/>
    <w:rPr>
      <w:rFonts w:ascii="Verdana" w:eastAsia="Calibri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6A0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D6A05"/>
    <w:rPr>
      <w:rFonts w:ascii="Verdana" w:eastAsia="Calibri" w:hAnsi="Verdana"/>
      <w:b/>
      <w:bCs/>
      <w:lang w:eastAsia="en-US"/>
    </w:rPr>
  </w:style>
  <w:style w:type="paragraph" w:customStyle="1" w:styleId="Bezodstpw1">
    <w:name w:val="Bez odstępów1"/>
    <w:rsid w:val="000D6A05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8746F0"/>
    <w:rPr>
      <w:color w:val="800080" w:themeColor="followedHyperlink"/>
      <w:u w:val="single"/>
    </w:rPr>
  </w:style>
  <w:style w:type="paragraph" w:customStyle="1" w:styleId="Bezodstpw2">
    <w:name w:val="Bez odstępów2"/>
    <w:rsid w:val="008746F0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A044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A05"/>
    <w:pPr>
      <w:keepNext/>
      <w:keepLines/>
      <w:spacing w:before="20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0D6A05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D6A05"/>
  </w:style>
  <w:style w:type="character" w:customStyle="1" w:styleId="Nagwek1Znak">
    <w:name w:val="Nagłówek 1 Znak"/>
    <w:link w:val="Nagwek1"/>
    <w:uiPriority w:val="9"/>
    <w:rsid w:val="000D6A05"/>
    <w:rPr>
      <w:rFonts w:ascii="Arial" w:hAnsi="Arial" w:cs="Arial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6A05"/>
    <w:pPr>
      <w:keepLines/>
      <w:spacing w:before="480" w:after="0" w:line="276" w:lineRule="auto"/>
      <w:jc w:val="center"/>
      <w:outlineLvl w:val="9"/>
    </w:pPr>
    <w:rPr>
      <w:rFonts w:ascii="Verdana" w:hAnsi="Verdana" w:cs="Times New Roman"/>
      <w:b w:val="0"/>
      <w:kern w:val="0"/>
      <w:sz w:val="4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220"/>
      <w:jc w:val="both"/>
    </w:pPr>
    <w:rPr>
      <w:rFonts w:ascii="Verdana" w:hAnsi="Verdana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D6A05"/>
    <w:pPr>
      <w:tabs>
        <w:tab w:val="right" w:leader="dot" w:pos="9062"/>
      </w:tabs>
      <w:spacing w:after="100" w:line="276" w:lineRule="auto"/>
      <w:jc w:val="both"/>
    </w:pPr>
    <w:rPr>
      <w:rFonts w:ascii="Verdana" w:hAnsi="Verdana"/>
      <w:noProof/>
      <w:sz w:val="20"/>
      <w:szCs w:val="20"/>
      <w:u w:val="single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440"/>
      <w:jc w:val="both"/>
    </w:pPr>
    <w:rPr>
      <w:rFonts w:ascii="Verdana" w:hAnsi="Verdana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0D6A05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D6A05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D6A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A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0D6A05"/>
    <w:rPr>
      <w:rFonts w:ascii="Verdana" w:eastAsia="Calibri" w:hAnsi="Verdana"/>
      <w:b/>
      <w:szCs w:val="22"/>
      <w:u w:val="single"/>
      <w:lang w:eastAsia="en-US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0D6A05"/>
    <w:rPr>
      <w:rFonts w:ascii="Verdana" w:eastAsia="Calibri" w:hAnsi="Verdana"/>
      <w:b/>
      <w:szCs w:val="22"/>
      <w:u w:val="single"/>
      <w:lang w:val="pl-PL" w:eastAsia="en-US" w:bidi="ar-SA"/>
    </w:rPr>
  </w:style>
  <w:style w:type="paragraph" w:customStyle="1" w:styleId="Default">
    <w:name w:val="Default"/>
    <w:rsid w:val="000D6A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D6A05"/>
    <w:rPr>
      <w:rFonts w:ascii="Verdana" w:eastAsia="Calibri" w:hAnsi="Verdana"/>
      <w:lang w:eastAsia="en-US"/>
    </w:rPr>
  </w:style>
  <w:style w:type="character" w:styleId="Odwoanieprzypisukocowego">
    <w:name w:val="endnote reference"/>
    <w:uiPriority w:val="99"/>
    <w:unhideWhenUsed/>
    <w:rsid w:val="000D6A05"/>
    <w:rPr>
      <w:vertAlign w:val="superscript"/>
    </w:rPr>
  </w:style>
  <w:style w:type="character" w:styleId="Odwoaniedokomentarza">
    <w:name w:val="annotation reference"/>
    <w:uiPriority w:val="99"/>
    <w:unhideWhenUsed/>
    <w:rsid w:val="000D6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D6A05"/>
    <w:rPr>
      <w:rFonts w:ascii="Verdana" w:eastAsia="Calibri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6A0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D6A05"/>
    <w:rPr>
      <w:rFonts w:ascii="Verdana" w:eastAsia="Calibri" w:hAnsi="Verdana"/>
      <w:b/>
      <w:bCs/>
      <w:lang w:eastAsia="en-US"/>
    </w:rPr>
  </w:style>
  <w:style w:type="paragraph" w:customStyle="1" w:styleId="Bezodstpw1">
    <w:name w:val="Bez odstępów1"/>
    <w:rsid w:val="000D6A05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8746F0"/>
    <w:rPr>
      <w:color w:val="800080" w:themeColor="followedHyperlink"/>
      <w:u w:val="single"/>
    </w:rPr>
  </w:style>
  <w:style w:type="paragraph" w:customStyle="1" w:styleId="Bezodstpw2">
    <w:name w:val="Bez odstępów2"/>
    <w:rsid w:val="008746F0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A0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2399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User_ADM_03</cp:lastModifiedBy>
  <cp:revision>4</cp:revision>
  <cp:lastPrinted>2017-04-04T08:56:00Z</cp:lastPrinted>
  <dcterms:created xsi:type="dcterms:W3CDTF">2018-03-21T08:33:00Z</dcterms:created>
  <dcterms:modified xsi:type="dcterms:W3CDTF">2019-03-20T09:49:00Z</dcterms:modified>
</cp:coreProperties>
</file>