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vertAnchor="text" w:horzAnchor="margin" w:tblpY="328"/>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632"/>
      </w:tblGrid>
      <w:tr w:rsidR="00B64E17" w:rsidTr="00AB7AC2">
        <w:tc>
          <w:tcPr>
            <w:tcW w:w="4361" w:type="dxa"/>
          </w:tcPr>
          <w:p w:rsidR="00B64E17" w:rsidRDefault="00B64E17" w:rsidP="00CD73E2">
            <w:pPr>
              <w:textAlignment w:val="auto"/>
              <w:rPr>
                <w:rFonts w:ascii="Times New Roman" w:eastAsia="Times New Roman" w:hAnsi="Times New Roman" w:cs="Times New Roman"/>
                <w:bCs/>
                <w:kern w:val="0"/>
                <w:sz w:val="20"/>
                <w:szCs w:val="20"/>
                <w:lang w:bidi="ar-SA"/>
              </w:rPr>
            </w:pPr>
            <w:bookmarkStart w:id="0" w:name="_GoBack"/>
            <w:bookmarkEnd w:id="0"/>
            <w:r>
              <w:rPr>
                <w:rFonts w:ascii="Times New Roman" w:eastAsia="Times New Roman" w:hAnsi="Times New Roman" w:cs="Times New Roman"/>
                <w:bCs/>
                <w:kern w:val="0"/>
                <w:sz w:val="20"/>
                <w:szCs w:val="20"/>
                <w:lang w:bidi="ar-SA"/>
              </w:rPr>
              <w:t>ZOZ.V-260</w:t>
            </w:r>
            <w:r w:rsidR="00CD73E2">
              <w:rPr>
                <w:rFonts w:ascii="Times New Roman" w:eastAsia="Times New Roman" w:hAnsi="Times New Roman" w:cs="Times New Roman"/>
                <w:bCs/>
                <w:kern w:val="0"/>
                <w:sz w:val="20"/>
                <w:szCs w:val="20"/>
                <w:lang w:bidi="ar-SA"/>
              </w:rPr>
              <w:t>-68</w:t>
            </w:r>
            <w:r>
              <w:rPr>
                <w:rFonts w:ascii="Times New Roman" w:eastAsia="Times New Roman" w:hAnsi="Times New Roman" w:cs="Times New Roman"/>
                <w:bCs/>
                <w:kern w:val="0"/>
                <w:sz w:val="20"/>
                <w:szCs w:val="20"/>
                <w:lang w:bidi="ar-SA"/>
              </w:rPr>
              <w:t xml:space="preserve">/ZP/20                                                              </w:t>
            </w:r>
          </w:p>
        </w:tc>
        <w:tc>
          <w:tcPr>
            <w:tcW w:w="4632" w:type="dxa"/>
          </w:tcPr>
          <w:p w:rsidR="00B64E17" w:rsidRDefault="00B64E17" w:rsidP="00B64E17">
            <w:pPr>
              <w:jc w:val="right"/>
              <w:textAlignment w:val="auto"/>
              <w:rPr>
                <w:rFonts w:ascii="Times New Roman" w:eastAsia="Times New Roman" w:hAnsi="Times New Roman" w:cs="Times New Roman"/>
                <w:bCs/>
                <w:kern w:val="0"/>
                <w:sz w:val="20"/>
                <w:szCs w:val="20"/>
                <w:lang w:bidi="ar-SA"/>
              </w:rPr>
            </w:pPr>
          </w:p>
          <w:p w:rsidR="00B64E17" w:rsidRDefault="00B64E17" w:rsidP="00AE32B7">
            <w:pPr>
              <w:jc w:val="right"/>
              <w:textAlignment w:val="auto"/>
              <w:rPr>
                <w:rFonts w:ascii="Times New Roman" w:eastAsia="Times New Roman" w:hAnsi="Times New Roman" w:cs="Times New Roman"/>
                <w:bCs/>
                <w:kern w:val="0"/>
                <w:sz w:val="20"/>
                <w:szCs w:val="20"/>
                <w:lang w:bidi="ar-SA"/>
              </w:rPr>
            </w:pPr>
            <w:r>
              <w:rPr>
                <w:rFonts w:ascii="Times New Roman" w:eastAsia="Times New Roman" w:hAnsi="Times New Roman" w:cs="Times New Roman"/>
                <w:bCs/>
                <w:kern w:val="0"/>
                <w:sz w:val="20"/>
                <w:szCs w:val="20"/>
                <w:lang w:bidi="ar-SA"/>
              </w:rPr>
              <w:t>Załącznik nr 1</w:t>
            </w:r>
            <w:r w:rsidR="00AE32B7">
              <w:rPr>
                <w:rFonts w:ascii="Times New Roman" w:eastAsia="Times New Roman" w:hAnsi="Times New Roman" w:cs="Times New Roman"/>
                <w:bCs/>
                <w:kern w:val="0"/>
                <w:sz w:val="20"/>
                <w:szCs w:val="20"/>
                <w:lang w:bidi="ar-SA"/>
              </w:rPr>
              <w:t>3</w:t>
            </w:r>
            <w:r>
              <w:rPr>
                <w:rFonts w:ascii="Times New Roman" w:eastAsia="Times New Roman" w:hAnsi="Times New Roman" w:cs="Times New Roman"/>
                <w:bCs/>
                <w:kern w:val="0"/>
                <w:sz w:val="20"/>
                <w:szCs w:val="20"/>
                <w:lang w:bidi="ar-SA"/>
              </w:rPr>
              <w:t xml:space="preserve"> do SIWZ</w:t>
            </w:r>
          </w:p>
        </w:tc>
      </w:tr>
    </w:tbl>
    <w:p w:rsidR="00B64E17" w:rsidRDefault="00B64E17" w:rsidP="00B64E17">
      <w:pPr>
        <w:jc w:val="center"/>
        <w:rPr>
          <w:rFonts w:ascii="Times New Roman" w:eastAsia="Times New Roman" w:hAnsi="Times New Roman" w:cs="Times New Roman"/>
          <w:b/>
          <w:sz w:val="28"/>
          <w:szCs w:val="28"/>
        </w:rPr>
      </w:pPr>
    </w:p>
    <w:p w:rsidR="00B64E17" w:rsidRPr="00AB7AC2" w:rsidRDefault="00B64E17" w:rsidP="00B64E17">
      <w:pPr>
        <w:jc w:val="center"/>
        <w:rPr>
          <w:rFonts w:eastAsia="Times New Roman" w:cs="Times New Roman"/>
          <w:b/>
          <w:sz w:val="24"/>
          <w:szCs w:val="24"/>
        </w:rPr>
      </w:pPr>
      <w:r w:rsidRPr="00AB7AC2">
        <w:rPr>
          <w:rFonts w:eastAsia="Times New Roman" w:cs="Times New Roman"/>
          <w:b/>
          <w:sz w:val="24"/>
          <w:szCs w:val="24"/>
        </w:rPr>
        <w:t xml:space="preserve">Formularz parametrów wymaganych i ocenianych dla części nr </w:t>
      </w:r>
      <w:r w:rsidR="00AE32B7">
        <w:rPr>
          <w:rFonts w:eastAsia="Times New Roman" w:cs="Times New Roman"/>
          <w:b/>
          <w:sz w:val="24"/>
          <w:szCs w:val="24"/>
        </w:rPr>
        <w:t>8</w:t>
      </w:r>
    </w:p>
    <w:p w:rsidR="00B64E17" w:rsidRPr="00AB7AC2" w:rsidRDefault="00AE32B7" w:rsidP="00B64E17">
      <w:pPr>
        <w:jc w:val="center"/>
        <w:rPr>
          <w:rFonts w:eastAsia="SimSun" w:cs="Times New Roman"/>
          <w:b/>
          <w:bCs/>
          <w:sz w:val="24"/>
          <w:szCs w:val="24"/>
        </w:rPr>
      </w:pPr>
      <w:r>
        <w:rPr>
          <w:b/>
          <w:sz w:val="24"/>
          <w:szCs w:val="24"/>
          <w:lang w:eastAsia="pl-PL"/>
        </w:rPr>
        <w:t>kardiomonitory mobilne</w:t>
      </w:r>
    </w:p>
    <w:tbl>
      <w:tblPr>
        <w:tblW w:w="10491" w:type="dxa"/>
        <w:tblInd w:w="-431" w:type="dxa"/>
        <w:tblLayout w:type="fixed"/>
        <w:tblCellMar>
          <w:left w:w="10" w:type="dxa"/>
          <w:right w:w="10" w:type="dxa"/>
        </w:tblCellMar>
        <w:tblLook w:val="04A0" w:firstRow="1" w:lastRow="0" w:firstColumn="1" w:lastColumn="0" w:noHBand="0" w:noVBand="1"/>
      </w:tblPr>
      <w:tblGrid>
        <w:gridCol w:w="710"/>
        <w:gridCol w:w="4819"/>
        <w:gridCol w:w="1276"/>
        <w:gridCol w:w="1418"/>
        <w:gridCol w:w="2268"/>
      </w:tblGrid>
      <w:tr w:rsidR="00AE32B7" w:rsidRPr="00AE0058" w:rsidTr="00CC7D06">
        <w:trPr>
          <w:trHeight w:val="729"/>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E32B7" w:rsidRPr="00AE0058" w:rsidRDefault="00AE32B7" w:rsidP="00CC7D06">
            <w:pPr>
              <w:pStyle w:val="Standard"/>
              <w:jc w:val="center"/>
              <w:rPr>
                <w:rFonts w:asciiTheme="minorHAnsi" w:hAnsiTheme="minorHAnsi"/>
                <w:sz w:val="22"/>
                <w:szCs w:val="22"/>
              </w:rPr>
            </w:pPr>
            <w:r w:rsidRPr="00AE0058">
              <w:rPr>
                <w:rFonts w:asciiTheme="minorHAnsi" w:hAnsiTheme="minorHAnsi" w:cs="Times New Roman"/>
                <w:b/>
                <w:bCs/>
                <w:sz w:val="22"/>
                <w:szCs w:val="22"/>
              </w:rPr>
              <w:t>Lp.</w:t>
            </w:r>
          </w:p>
        </w:tc>
        <w:tc>
          <w:tcPr>
            <w:tcW w:w="4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E32B7" w:rsidRPr="00AE0058" w:rsidRDefault="007F250D" w:rsidP="00F11291">
            <w:pPr>
              <w:pStyle w:val="Standard"/>
              <w:jc w:val="center"/>
              <w:rPr>
                <w:rFonts w:asciiTheme="minorHAnsi" w:hAnsiTheme="minorHAnsi"/>
                <w:sz w:val="22"/>
                <w:szCs w:val="22"/>
              </w:rPr>
            </w:pPr>
            <w:r>
              <w:rPr>
                <w:rFonts w:asciiTheme="minorHAnsi" w:hAnsiTheme="minorHAnsi" w:cs="Times New Roman"/>
                <w:b/>
                <w:sz w:val="22"/>
                <w:szCs w:val="22"/>
              </w:rPr>
              <w:t xml:space="preserve">Kardiomonitor mobilny </w:t>
            </w:r>
            <w:r w:rsidR="00F11291">
              <w:rPr>
                <w:rFonts w:asciiTheme="minorHAnsi" w:hAnsiTheme="minorHAnsi" w:cs="Times New Roman"/>
                <w:b/>
                <w:sz w:val="22"/>
                <w:szCs w:val="22"/>
              </w:rPr>
              <w:t>4</w:t>
            </w:r>
            <w:r>
              <w:rPr>
                <w:rFonts w:asciiTheme="minorHAnsi" w:hAnsiTheme="minorHAnsi" w:cs="Times New Roman"/>
                <w:b/>
                <w:sz w:val="22"/>
                <w:szCs w:val="22"/>
              </w:rPr>
              <w:t xml:space="preserve"> szt.</w:t>
            </w:r>
          </w:p>
        </w:tc>
        <w:tc>
          <w:tcPr>
            <w:tcW w:w="127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b/>
                <w:sz w:val="22"/>
                <w:szCs w:val="22"/>
                <w:lang w:eastAsia="pl-PL"/>
              </w:rPr>
            </w:pPr>
            <w:r w:rsidRPr="00AE0058">
              <w:rPr>
                <w:rFonts w:asciiTheme="minorHAnsi" w:hAnsiTheme="minorHAnsi" w:cs="Times New Roman"/>
                <w:b/>
                <w:sz w:val="22"/>
                <w:szCs w:val="22"/>
                <w:lang w:eastAsia="pl-PL"/>
              </w:rPr>
              <w:t>Spełnienie parametrów TAK/NIE</w:t>
            </w:r>
          </w:p>
        </w:tc>
        <w:tc>
          <w:tcPr>
            <w:tcW w:w="1418" w:type="dxa"/>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jc w:val="center"/>
              <w:rPr>
                <w:rFonts w:asciiTheme="minorHAnsi" w:hAnsiTheme="minorHAnsi"/>
                <w:sz w:val="22"/>
                <w:szCs w:val="22"/>
              </w:rPr>
            </w:pPr>
            <w:r w:rsidRPr="00AE0058">
              <w:rPr>
                <w:rFonts w:asciiTheme="minorHAnsi" w:hAnsiTheme="minorHAnsi" w:cs="Times New Roman"/>
                <w:b/>
                <w:sz w:val="22"/>
                <w:szCs w:val="22"/>
                <w:lang w:eastAsia="pl-PL"/>
              </w:rPr>
              <w:t>Parametr oferowany*)</w:t>
            </w:r>
          </w:p>
        </w:tc>
        <w:tc>
          <w:tcPr>
            <w:tcW w:w="2268" w:type="dxa"/>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jc w:val="center"/>
              <w:rPr>
                <w:rFonts w:asciiTheme="minorHAnsi" w:hAnsiTheme="minorHAnsi"/>
                <w:sz w:val="22"/>
                <w:szCs w:val="22"/>
              </w:rPr>
            </w:pPr>
            <w:r w:rsidRPr="00AE0058">
              <w:rPr>
                <w:rFonts w:asciiTheme="minorHAnsi" w:hAnsiTheme="minorHAnsi" w:cs="Times New Roman"/>
                <w:b/>
                <w:sz w:val="22"/>
                <w:szCs w:val="22"/>
                <w:lang w:eastAsia="pl-PL"/>
              </w:rPr>
              <w:t xml:space="preserve">Parametr oceniany </w:t>
            </w:r>
            <w:r w:rsidR="007F250D">
              <w:rPr>
                <w:rFonts w:asciiTheme="minorHAnsi" w:hAnsiTheme="minorHAnsi" w:cs="Times New Roman"/>
                <w:b/>
                <w:sz w:val="22"/>
                <w:szCs w:val="22"/>
                <w:lang w:eastAsia="pl-PL"/>
              </w:rPr>
              <w:t>–</w:t>
            </w:r>
            <w:r w:rsidRPr="00AE0058">
              <w:rPr>
                <w:rFonts w:asciiTheme="minorHAnsi" w:hAnsiTheme="minorHAnsi" w:cs="Times New Roman"/>
                <w:b/>
                <w:sz w:val="22"/>
                <w:szCs w:val="22"/>
                <w:lang w:eastAsia="pl-PL"/>
              </w:rPr>
              <w:t xml:space="preserve"> punktacja</w:t>
            </w:r>
          </w:p>
        </w:tc>
      </w:tr>
      <w:tr w:rsidR="00AE32B7" w:rsidRPr="00AE0058" w:rsidTr="00B626F0">
        <w:trPr>
          <w:trHeight w:val="391"/>
        </w:trPr>
        <w:tc>
          <w:tcPr>
            <w:tcW w:w="7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p>
        </w:tc>
        <w:tc>
          <w:tcPr>
            <w:tcW w:w="4819" w:type="dxa"/>
            <w:tcBorders>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tabs>
                <w:tab w:val="center" w:pos="4536"/>
                <w:tab w:val="right" w:pos="9072"/>
              </w:tabs>
            </w:pPr>
            <w:r w:rsidRPr="00AE0058">
              <w:t>Nazwa</w:t>
            </w:r>
          </w:p>
        </w:tc>
        <w:tc>
          <w:tcPr>
            <w:tcW w:w="1276" w:type="dxa"/>
            <w:tcBorders>
              <w:bottom w:val="single" w:sz="4" w:space="0" w:color="000000"/>
              <w:right w:val="single" w:sz="4" w:space="0" w:color="000000"/>
            </w:tcBorders>
            <w:shd w:val="clear" w:color="auto" w:fill="FFFFFF"/>
            <w:tcMar>
              <w:top w:w="0" w:type="dxa"/>
              <w:left w:w="70" w:type="dxa"/>
              <w:bottom w:w="0" w:type="dxa"/>
              <w:right w:w="70" w:type="dxa"/>
            </w:tcMar>
          </w:tcPr>
          <w:p w:rsidR="00AE32B7" w:rsidRPr="00AE0058" w:rsidRDefault="00AE32B7" w:rsidP="00CC7D06">
            <w:pPr>
              <w:tabs>
                <w:tab w:val="center" w:pos="4536"/>
                <w:tab w:val="right" w:pos="9072"/>
              </w:tabs>
              <w:jc w:val="center"/>
            </w:pPr>
            <w:r w:rsidRPr="00AE0058">
              <w:t>Podać</w:t>
            </w:r>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rPr>
                <w:rFonts w:asciiTheme="minorHAnsi" w:hAnsiTheme="minorHAnsi" w:cs="Times New Roman"/>
                <w:bCs/>
                <w:sz w:val="22"/>
                <w:szCs w:val="22"/>
              </w:rPr>
            </w:pPr>
          </w:p>
        </w:tc>
        <w:tc>
          <w:tcPr>
            <w:tcW w:w="2268" w:type="dxa"/>
            <w:tcBorders>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rPr>
                <w:rFonts w:asciiTheme="minorHAnsi" w:hAnsiTheme="minorHAnsi" w:cs="Times New Roman"/>
                <w:bCs/>
                <w:sz w:val="22"/>
                <w:szCs w:val="22"/>
              </w:rPr>
            </w:pPr>
          </w:p>
        </w:tc>
      </w:tr>
      <w:tr w:rsidR="00AE32B7" w:rsidRPr="00AE0058" w:rsidTr="00B626F0">
        <w:trPr>
          <w:trHeight w:val="391"/>
        </w:trPr>
        <w:tc>
          <w:tcPr>
            <w:tcW w:w="7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p>
        </w:tc>
        <w:tc>
          <w:tcPr>
            <w:tcW w:w="4819" w:type="dxa"/>
            <w:tcBorders>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tabs>
                <w:tab w:val="center" w:pos="4536"/>
                <w:tab w:val="right" w:pos="9072"/>
              </w:tabs>
            </w:pPr>
            <w:r w:rsidRPr="00AE0058">
              <w:t>Typ</w:t>
            </w:r>
          </w:p>
        </w:tc>
        <w:tc>
          <w:tcPr>
            <w:tcW w:w="1276" w:type="dxa"/>
            <w:tcBorders>
              <w:bottom w:val="single" w:sz="4" w:space="0" w:color="000000"/>
              <w:right w:val="single" w:sz="4" w:space="0" w:color="000000"/>
            </w:tcBorders>
            <w:shd w:val="clear" w:color="auto" w:fill="FFFFFF"/>
            <w:tcMar>
              <w:top w:w="0" w:type="dxa"/>
              <w:left w:w="70" w:type="dxa"/>
              <w:bottom w:w="0" w:type="dxa"/>
              <w:right w:w="70" w:type="dxa"/>
            </w:tcMar>
          </w:tcPr>
          <w:p w:rsidR="00AE32B7" w:rsidRPr="00AE0058" w:rsidRDefault="00AE32B7" w:rsidP="00CC7D06">
            <w:pPr>
              <w:tabs>
                <w:tab w:val="center" w:pos="4536"/>
                <w:tab w:val="right" w:pos="9072"/>
              </w:tabs>
              <w:jc w:val="center"/>
            </w:pPr>
            <w:r w:rsidRPr="00AE0058">
              <w:t>Podać</w:t>
            </w:r>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rPr>
                <w:rFonts w:asciiTheme="minorHAnsi" w:hAnsiTheme="minorHAnsi" w:cs="Times New Roman"/>
                <w:bCs/>
                <w:sz w:val="22"/>
                <w:szCs w:val="22"/>
              </w:rPr>
            </w:pPr>
          </w:p>
        </w:tc>
        <w:tc>
          <w:tcPr>
            <w:tcW w:w="2268" w:type="dxa"/>
            <w:tcBorders>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rPr>
                <w:rFonts w:asciiTheme="minorHAnsi" w:hAnsiTheme="minorHAnsi" w:cs="Times New Roman"/>
                <w:bCs/>
                <w:sz w:val="22"/>
                <w:szCs w:val="22"/>
              </w:rPr>
            </w:pPr>
          </w:p>
        </w:tc>
      </w:tr>
      <w:tr w:rsidR="00AE32B7" w:rsidRPr="00AE0058" w:rsidTr="00B626F0">
        <w:trPr>
          <w:trHeight w:val="391"/>
        </w:trPr>
        <w:tc>
          <w:tcPr>
            <w:tcW w:w="7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p>
        </w:tc>
        <w:tc>
          <w:tcPr>
            <w:tcW w:w="4819" w:type="dxa"/>
            <w:tcBorders>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tabs>
                <w:tab w:val="center" w:pos="4536"/>
                <w:tab w:val="right" w:pos="9072"/>
              </w:tabs>
            </w:pPr>
            <w:r w:rsidRPr="00AE0058">
              <w:t xml:space="preserve">Producent </w:t>
            </w:r>
          </w:p>
        </w:tc>
        <w:tc>
          <w:tcPr>
            <w:tcW w:w="1276" w:type="dxa"/>
            <w:tcBorders>
              <w:bottom w:val="single" w:sz="4" w:space="0" w:color="000000"/>
              <w:right w:val="single" w:sz="4" w:space="0" w:color="000000"/>
            </w:tcBorders>
            <w:shd w:val="clear" w:color="auto" w:fill="FFFFFF"/>
            <w:tcMar>
              <w:top w:w="0" w:type="dxa"/>
              <w:left w:w="70" w:type="dxa"/>
              <w:bottom w:w="0" w:type="dxa"/>
              <w:right w:w="70" w:type="dxa"/>
            </w:tcMar>
          </w:tcPr>
          <w:p w:rsidR="00AE32B7" w:rsidRPr="00AE0058" w:rsidRDefault="00AE32B7" w:rsidP="00CC7D06">
            <w:pPr>
              <w:tabs>
                <w:tab w:val="center" w:pos="4536"/>
                <w:tab w:val="right" w:pos="9072"/>
              </w:tabs>
              <w:jc w:val="center"/>
            </w:pPr>
            <w:r w:rsidRPr="00AE0058">
              <w:t>Podać</w:t>
            </w:r>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rPr>
                <w:rFonts w:asciiTheme="minorHAnsi" w:hAnsiTheme="minorHAnsi" w:cs="Times New Roman"/>
                <w:bCs/>
                <w:sz w:val="22"/>
                <w:szCs w:val="22"/>
              </w:rPr>
            </w:pPr>
          </w:p>
        </w:tc>
        <w:tc>
          <w:tcPr>
            <w:tcW w:w="2268" w:type="dxa"/>
            <w:tcBorders>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rPr>
                <w:rFonts w:asciiTheme="minorHAnsi" w:hAnsiTheme="minorHAnsi" w:cs="Times New Roman"/>
                <w:bCs/>
                <w:sz w:val="22"/>
                <w:szCs w:val="22"/>
              </w:rPr>
            </w:pPr>
          </w:p>
        </w:tc>
      </w:tr>
      <w:tr w:rsidR="00AE32B7" w:rsidRPr="00AE0058" w:rsidTr="00B626F0">
        <w:trPr>
          <w:trHeight w:val="391"/>
        </w:trPr>
        <w:tc>
          <w:tcPr>
            <w:tcW w:w="7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p>
        </w:tc>
        <w:tc>
          <w:tcPr>
            <w:tcW w:w="4819" w:type="dxa"/>
            <w:tcBorders>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tabs>
                <w:tab w:val="center" w:pos="4536"/>
                <w:tab w:val="right" w:pos="9072"/>
              </w:tabs>
            </w:pPr>
            <w:r w:rsidRPr="00AE0058">
              <w:t>Kraj pochodzenia</w:t>
            </w:r>
          </w:p>
        </w:tc>
        <w:tc>
          <w:tcPr>
            <w:tcW w:w="1276" w:type="dxa"/>
            <w:tcBorders>
              <w:bottom w:val="single" w:sz="4" w:space="0" w:color="000000"/>
              <w:right w:val="single" w:sz="4" w:space="0" w:color="000000"/>
            </w:tcBorders>
            <w:shd w:val="clear" w:color="auto" w:fill="FFFFFF"/>
            <w:tcMar>
              <w:top w:w="0" w:type="dxa"/>
              <w:left w:w="70" w:type="dxa"/>
              <w:bottom w:w="0" w:type="dxa"/>
              <w:right w:w="70" w:type="dxa"/>
            </w:tcMar>
          </w:tcPr>
          <w:p w:rsidR="00AE32B7" w:rsidRPr="00AE0058" w:rsidRDefault="00AE32B7" w:rsidP="00CC7D06">
            <w:pPr>
              <w:tabs>
                <w:tab w:val="center" w:pos="4536"/>
                <w:tab w:val="right" w:pos="9072"/>
              </w:tabs>
              <w:jc w:val="center"/>
            </w:pPr>
            <w:r w:rsidRPr="00AE0058">
              <w:t>Podać</w:t>
            </w:r>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rPr>
                <w:rFonts w:asciiTheme="minorHAnsi" w:hAnsiTheme="minorHAnsi" w:cs="Times New Roman"/>
                <w:bCs/>
                <w:sz w:val="22"/>
                <w:szCs w:val="22"/>
              </w:rPr>
            </w:pPr>
          </w:p>
        </w:tc>
        <w:tc>
          <w:tcPr>
            <w:tcW w:w="2268" w:type="dxa"/>
            <w:tcBorders>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rPr>
                <w:rFonts w:asciiTheme="minorHAnsi" w:hAnsiTheme="minorHAnsi" w:cs="Times New Roman"/>
                <w:bCs/>
                <w:sz w:val="22"/>
                <w:szCs w:val="22"/>
              </w:rPr>
            </w:pPr>
          </w:p>
        </w:tc>
      </w:tr>
      <w:tr w:rsidR="00AE32B7" w:rsidRPr="00AE0058" w:rsidTr="00CC7D06">
        <w:trPr>
          <w:trHeight w:val="391"/>
        </w:trPr>
        <w:tc>
          <w:tcPr>
            <w:tcW w:w="7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1</w:t>
            </w:r>
          </w:p>
        </w:tc>
        <w:tc>
          <w:tcPr>
            <w:tcW w:w="481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CC7D06">
            <w:pPr>
              <w:pStyle w:val="Standard"/>
              <w:rPr>
                <w:rFonts w:asciiTheme="minorHAnsi" w:hAnsiTheme="minorHAnsi" w:cs="Times New Roman"/>
                <w:sz w:val="22"/>
                <w:szCs w:val="22"/>
              </w:rPr>
            </w:pPr>
            <w:r w:rsidRPr="00AE0058">
              <w:rPr>
                <w:rFonts w:asciiTheme="minorHAnsi" w:hAnsiTheme="minorHAnsi" w:cs="Times New Roman"/>
                <w:sz w:val="22"/>
                <w:szCs w:val="22"/>
              </w:rPr>
              <w:t>Urządzenie fabrycznie nowe, nie starsze niż 2020</w:t>
            </w:r>
          </w:p>
        </w:tc>
        <w:tc>
          <w:tcPr>
            <w:tcW w:w="127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E32B7" w:rsidRPr="00AE0058" w:rsidRDefault="00AE32B7" w:rsidP="00CC7D06">
            <w:pPr>
              <w:pStyle w:val="Standard"/>
              <w:jc w:val="center"/>
              <w:rPr>
                <w:rFonts w:asciiTheme="minorHAnsi" w:hAnsiTheme="minorHAnsi"/>
                <w:sz w:val="22"/>
                <w:szCs w:val="22"/>
              </w:rPr>
            </w:pPr>
            <w:r w:rsidRPr="00AE0058">
              <w:rPr>
                <w:rFonts w:asciiTheme="minorHAnsi" w:hAnsiTheme="minorHAnsi" w:cs="Times New Roman"/>
                <w:bCs/>
                <w:sz w:val="22"/>
                <w:szCs w:val="22"/>
              </w:rPr>
              <w:t>Tak</w:t>
            </w:r>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rPr>
                <w:rFonts w:asciiTheme="minorHAnsi" w:hAnsiTheme="minorHAnsi" w:cs="Times New Roman"/>
                <w:bCs/>
                <w:sz w:val="22"/>
                <w:szCs w:val="22"/>
              </w:rPr>
            </w:pPr>
          </w:p>
        </w:tc>
        <w:tc>
          <w:tcPr>
            <w:tcW w:w="2268" w:type="dxa"/>
            <w:tcBorders>
              <w:bottom w:val="single" w:sz="4" w:space="0" w:color="000000"/>
              <w:right w:val="single" w:sz="4" w:space="0" w:color="000000"/>
            </w:tcBorders>
            <w:shd w:val="clear" w:color="auto" w:fill="FFFFFF"/>
            <w:tcMar>
              <w:top w:w="0" w:type="dxa"/>
              <w:left w:w="10" w:type="dxa"/>
              <w:bottom w:w="0" w:type="dxa"/>
              <w:right w:w="10" w:type="dxa"/>
            </w:tcMar>
          </w:tcPr>
          <w:p w:rsidR="00AE32B7" w:rsidRPr="00AE0058" w:rsidRDefault="00AE32B7" w:rsidP="00CC7D06">
            <w:pPr>
              <w:pStyle w:val="Standard"/>
              <w:rPr>
                <w:rFonts w:asciiTheme="minorHAnsi" w:hAnsiTheme="minorHAnsi" w:cs="Times New Roman"/>
                <w:bCs/>
                <w:sz w:val="22"/>
                <w:szCs w:val="22"/>
              </w:rPr>
            </w:pP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25</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t xml:space="preserve">Kolorowy ekran  o dużym kącie widzenia (powyżej 160ͦ) o przekątnej minimum 15 cali </w:t>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26</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rPr>
                <w:rFonts w:asciiTheme="minorHAnsi" w:hAnsiTheme="minorHAnsi" w:cs="Times New Roman"/>
                <w:sz w:val="22"/>
                <w:szCs w:val="22"/>
              </w:rPr>
            </w:pPr>
            <w:r w:rsidRPr="00AE0058">
              <w:rPr>
                <w:rFonts w:asciiTheme="minorHAnsi" w:hAnsiTheme="minorHAnsi" w:cs="Times New Roman"/>
                <w:sz w:val="22"/>
                <w:szCs w:val="22"/>
              </w:rPr>
              <w:t xml:space="preserve">Zasilanie sieciowe dostosowane do 230V/50 </w:t>
            </w:r>
            <w:proofErr w:type="spellStart"/>
            <w:r w:rsidRPr="00AE0058">
              <w:rPr>
                <w:rFonts w:asciiTheme="minorHAnsi" w:hAnsiTheme="minorHAnsi" w:cs="Times New Roman"/>
                <w:sz w:val="22"/>
                <w:szCs w:val="22"/>
              </w:rPr>
              <w:t>Hz</w:t>
            </w:r>
            <w:proofErr w:type="spellEnd"/>
            <w:r w:rsidRPr="00AE0058">
              <w:rPr>
                <w:rFonts w:asciiTheme="minorHAnsi" w:hAnsiTheme="minorHAnsi" w:cs="Times New Roman"/>
                <w:sz w:val="22"/>
                <w:szCs w:val="22"/>
              </w:rPr>
              <w:t>. Wewnętrzny akumulator, wymienialny przez użytkownika, pozwalający na min. 60 minut pracy w konfiguracji EKG, NIBP, SpO2.</w:t>
            </w:r>
            <w:r w:rsidRPr="00AE0058">
              <w:rPr>
                <w:rFonts w:asciiTheme="minorHAnsi" w:hAnsiTheme="minorHAnsi" w:cs="Times New Roman"/>
                <w:sz w:val="22"/>
                <w:szCs w:val="22"/>
              </w:rPr>
              <w:tab/>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27</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t>Wyposażenie złącza wejścia/wyjścia:</w:t>
            </w:r>
          </w:p>
          <w:p w:rsidR="00AE32B7" w:rsidRPr="00AE0058" w:rsidRDefault="00AE32B7" w:rsidP="00CC7D06">
            <w:r w:rsidRPr="00AE0058">
              <w:rPr>
                <w:rFonts w:cs="Times New Roman"/>
              </w:rPr>
              <w:t>a) wyjście sygnału DVI lub VGA do podłączenia ekranu kopiującego,</w:t>
            </w:r>
          </w:p>
          <w:p w:rsidR="00AE32B7" w:rsidRPr="00AE0058" w:rsidRDefault="00AE32B7" w:rsidP="00CC7D06">
            <w:pPr>
              <w:rPr>
                <w:rFonts w:cs="Times New Roman"/>
              </w:rPr>
            </w:pPr>
            <w:r w:rsidRPr="00AE0058">
              <w:rPr>
                <w:rFonts w:cs="Times New Roman"/>
              </w:rPr>
              <w:t xml:space="preserve">b) co najmniej 1 gniazd USB do podłączenia klawiatury, myszki komp., skanera kodów paskowych </w:t>
            </w:r>
          </w:p>
          <w:p w:rsidR="00AE32B7" w:rsidRPr="00AE0058" w:rsidRDefault="00AE32B7" w:rsidP="00CC7D06">
            <w:pPr>
              <w:rPr>
                <w:rFonts w:cs="Times New Roman"/>
              </w:rPr>
            </w:pPr>
            <w:r w:rsidRPr="00AE0058">
              <w:rPr>
                <w:rFonts w:cs="Times New Roman"/>
              </w:rPr>
              <w:t>c)gniazdo do podłączenia z siecią monitorowania</w:t>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Parametr oceniany</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p w:rsidR="00AE32B7" w:rsidRPr="00AE0058" w:rsidRDefault="00AE32B7" w:rsidP="00CC7D06">
            <w:pPr>
              <w:pStyle w:val="Standard"/>
              <w:rPr>
                <w:rFonts w:asciiTheme="minorHAnsi" w:hAnsiTheme="minorHAnsi" w:cs="Times New Roman"/>
                <w:sz w:val="22"/>
                <w:szCs w:val="22"/>
              </w:rPr>
            </w:pPr>
          </w:p>
          <w:p w:rsidR="00AE32B7" w:rsidRPr="00AE0058" w:rsidRDefault="00AE32B7" w:rsidP="00CC7D06">
            <w:pPr>
              <w:pStyle w:val="Standard"/>
              <w:rPr>
                <w:rFonts w:asciiTheme="minorHAnsi" w:hAnsiTheme="minorHAnsi" w:cs="Times New Roman"/>
                <w:sz w:val="22"/>
                <w:szCs w:val="22"/>
              </w:rPr>
            </w:pPr>
          </w:p>
          <w:p w:rsidR="00AE32B7" w:rsidRPr="00AE0058" w:rsidRDefault="00AE32B7" w:rsidP="00CC7D06">
            <w:pPr>
              <w:pStyle w:val="Standard"/>
              <w:rPr>
                <w:rFonts w:asciiTheme="minorHAnsi" w:hAnsiTheme="minorHAnsi" w:cs="Times New Roman"/>
                <w:sz w:val="22"/>
                <w:szCs w:val="22"/>
              </w:rPr>
            </w:pPr>
            <w:r w:rsidRPr="00AE0058">
              <w:rPr>
                <w:rFonts w:asciiTheme="minorHAnsi" w:hAnsiTheme="minorHAnsi" w:cs="Times New Roman"/>
                <w:sz w:val="22"/>
                <w:szCs w:val="22"/>
              </w:rPr>
              <w:t>b) Tak – 5 pkt</w:t>
            </w:r>
          </w:p>
          <w:p w:rsidR="00AE32B7" w:rsidRPr="00AE0058" w:rsidRDefault="00AE32B7" w:rsidP="00CC7D06">
            <w:pPr>
              <w:pStyle w:val="Standard"/>
              <w:rPr>
                <w:rFonts w:asciiTheme="minorHAnsi" w:hAnsiTheme="minorHAnsi" w:cs="Times New Roman"/>
                <w:sz w:val="22"/>
                <w:szCs w:val="22"/>
              </w:rPr>
            </w:pPr>
            <w:r w:rsidRPr="00AE0058">
              <w:rPr>
                <w:rFonts w:asciiTheme="minorHAnsi" w:hAnsiTheme="minorHAnsi" w:cs="Times New Roman"/>
                <w:sz w:val="22"/>
                <w:szCs w:val="22"/>
              </w:rPr>
              <w:t xml:space="preserve">     Nie – 1 pkt</w:t>
            </w:r>
          </w:p>
          <w:p w:rsidR="00AE32B7" w:rsidRPr="00AE0058" w:rsidRDefault="00AE32B7" w:rsidP="00CC7D06">
            <w:pPr>
              <w:pStyle w:val="Standard"/>
              <w:rPr>
                <w:rFonts w:asciiTheme="minorHAnsi" w:hAnsiTheme="minorHAnsi" w:cs="Times New Roman"/>
                <w:sz w:val="22"/>
                <w:szCs w:val="22"/>
              </w:rPr>
            </w:pPr>
            <w:r w:rsidRPr="00AE0058">
              <w:rPr>
                <w:rFonts w:asciiTheme="minorHAnsi" w:hAnsiTheme="minorHAnsi" w:cs="Times New Roman"/>
                <w:sz w:val="22"/>
                <w:szCs w:val="22"/>
              </w:rPr>
              <w:t>c) Tak – 5 pkt</w:t>
            </w:r>
          </w:p>
          <w:p w:rsidR="00AE32B7" w:rsidRPr="00AE0058" w:rsidRDefault="00AE32B7" w:rsidP="00CC7D06">
            <w:pPr>
              <w:pStyle w:val="Standard"/>
              <w:rPr>
                <w:rFonts w:asciiTheme="minorHAnsi" w:hAnsiTheme="minorHAnsi" w:cs="Times New Roman"/>
                <w:sz w:val="22"/>
                <w:szCs w:val="22"/>
              </w:rPr>
            </w:pPr>
            <w:r w:rsidRPr="00AE0058">
              <w:rPr>
                <w:rFonts w:asciiTheme="minorHAnsi" w:hAnsiTheme="minorHAnsi" w:cs="Times New Roman"/>
                <w:sz w:val="22"/>
                <w:szCs w:val="22"/>
              </w:rPr>
              <w:t xml:space="preserve">     Nie – 1 pkt</w:t>
            </w: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28</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rPr>
                <w:rFonts w:asciiTheme="minorHAnsi" w:hAnsiTheme="minorHAnsi"/>
                <w:sz w:val="22"/>
                <w:szCs w:val="22"/>
              </w:rPr>
            </w:pPr>
            <w:r w:rsidRPr="00AE0058">
              <w:rPr>
                <w:rFonts w:asciiTheme="minorHAnsi" w:hAnsiTheme="minorHAnsi" w:cs="Times New Roman"/>
                <w:sz w:val="22"/>
                <w:szCs w:val="22"/>
              </w:rPr>
              <w:t xml:space="preserve">Monitor wyposażony w moduł transportowy z podglądem monitorowanych parametrów (z monitorowaniem co najmniej EKG, NIBP, SpO2, opis poszczególnych parametrów poniżej) podczas transportu pacjenta, będący jednocześnie modułem pomiarowym monitora pacjenta po włożeniu do miejsca parkingowego jednostki głównej. Ekran monitora transportowego minimum 3,5”. Ciężar monitora nie więcej niż 1,5 kg. Czas pracy na zasilaniu akumulatorowym co najmniej 3,5 h. Własna wewnętrzna pamięć monitora </w:t>
            </w:r>
            <w:r w:rsidRPr="00AE0058">
              <w:rPr>
                <w:rFonts w:asciiTheme="minorHAnsi" w:hAnsiTheme="minorHAnsi" w:cs="Times New Roman"/>
                <w:sz w:val="22"/>
                <w:szCs w:val="22"/>
              </w:rPr>
              <w:lastRenderedPageBreak/>
              <w:t xml:space="preserve">transportowego pozwalająca na zapamiętywanie co najmniej 24 godzin trendów monitorowanych parametrów. Monitor odporny na kurz i zalanie wodą - stopień ochrony co najmniej IP32. Monitor wyposażony w uchwyt do przenoszenia. </w:t>
            </w:r>
            <w:r w:rsidRPr="00AE0058">
              <w:rPr>
                <w:rFonts w:asciiTheme="minorHAnsi" w:hAnsiTheme="minorHAnsi" w:cs="Times New Roman"/>
                <w:sz w:val="22"/>
                <w:szCs w:val="22"/>
              </w:rPr>
              <w:tab/>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lastRenderedPageBreak/>
              <w:t>Tak</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p>
        </w:tc>
      </w:tr>
      <w:tr w:rsidR="00AE32B7" w:rsidRPr="00AE0058" w:rsidTr="00CC7D06">
        <w:trPr>
          <w:trHeight w:val="300"/>
        </w:trPr>
        <w:tc>
          <w:tcPr>
            <w:tcW w:w="104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CC7D06">
            <w:pPr>
              <w:pStyle w:val="Standard"/>
              <w:jc w:val="center"/>
              <w:rPr>
                <w:rFonts w:asciiTheme="minorHAnsi" w:hAnsiTheme="minorHAnsi" w:cs="Times New Roman"/>
                <w:b/>
                <w:bCs/>
                <w:sz w:val="22"/>
                <w:szCs w:val="22"/>
              </w:rPr>
            </w:pPr>
            <w:r w:rsidRPr="00AE0058">
              <w:rPr>
                <w:rFonts w:asciiTheme="minorHAnsi" w:hAnsiTheme="minorHAnsi" w:cs="Times New Roman"/>
                <w:b/>
                <w:bCs/>
                <w:sz w:val="22"/>
                <w:szCs w:val="22"/>
              </w:rPr>
              <w:lastRenderedPageBreak/>
              <w:t>Mierzone parametry w monitorze:</w:t>
            </w: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29</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rPr>
                <w:rFonts w:asciiTheme="minorHAnsi" w:hAnsiTheme="minorHAnsi"/>
                <w:sz w:val="22"/>
                <w:szCs w:val="22"/>
              </w:rPr>
            </w:pPr>
            <w:r w:rsidRPr="00AE0058">
              <w:rPr>
                <w:rFonts w:asciiTheme="minorHAnsi" w:hAnsiTheme="minorHAnsi" w:cs="Times New Roman"/>
                <w:sz w:val="22"/>
                <w:szCs w:val="22"/>
              </w:rPr>
              <w:t>EKG - pomiar częstości akcji serca. Zakres min. 30-300/min. Ustawianie prędkości przesuwu krzywej EKG do wyboru co najmniej: 6.25; 12.5; 25; 50 mm/s. Ustawianie wzmocnienia krzywej EKG do wyboru co najmniej: x0.12</w:t>
            </w:r>
            <w:r w:rsidR="007F250D">
              <w:rPr>
                <w:rFonts w:asciiTheme="minorHAnsi" w:hAnsiTheme="minorHAnsi" w:cs="Times New Roman"/>
                <w:sz w:val="22"/>
                <w:szCs w:val="22"/>
              </w:rPr>
              <w:t xml:space="preserve">5; x0.25; x0.5; x1; x2; x4; </w:t>
            </w:r>
            <w:r w:rsidRPr="00AE0058">
              <w:rPr>
                <w:rFonts w:asciiTheme="minorHAnsi" w:hAnsiTheme="minorHAnsi" w:cs="Times New Roman"/>
                <w:sz w:val="22"/>
                <w:szCs w:val="22"/>
              </w:rPr>
              <w:t xml:space="preserve"> lub </w:t>
            </w:r>
            <w:r w:rsidRPr="00AE0058">
              <w:rPr>
                <w:rFonts w:asciiTheme="minorHAnsi" w:eastAsia="Times New Roman" w:hAnsiTheme="minorHAnsi"/>
                <w:sz w:val="22"/>
                <w:szCs w:val="22"/>
                <w:lang w:val="pl" w:eastAsia="pl-PL"/>
              </w:rPr>
              <w:t>x0.25; x0.5; x1; x2; x4</w:t>
            </w:r>
            <w:r w:rsidRPr="00AE0058">
              <w:rPr>
                <w:rFonts w:asciiTheme="minorHAnsi" w:hAnsiTheme="minorHAnsi" w:cs="Times New Roman"/>
                <w:sz w:val="22"/>
                <w:szCs w:val="22"/>
              </w:rPr>
              <w:t xml:space="preserve">.  W komplecie z monitorem przewód EKG z kompletem 5 końcówek </w:t>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30</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t xml:space="preserve">Analiza odcinka ST- jednoczesny pomiar odchylenia odcinka ST we wszystkich odprowadzeniach w zakresie co najmniej od -2,0 do +2,0 </w:t>
            </w:r>
            <w:proofErr w:type="spellStart"/>
            <w:r w:rsidRPr="00AE0058">
              <w:rPr>
                <w:rFonts w:cs="Times New Roman"/>
              </w:rPr>
              <w:t>mV</w:t>
            </w:r>
            <w:proofErr w:type="spellEnd"/>
            <w:r w:rsidRPr="00AE0058">
              <w:rPr>
                <w:rFonts w:cs="Times New Roman"/>
              </w:rPr>
              <w:tab/>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Parametr oceniany</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 – 5 pkt</w:t>
            </w:r>
          </w:p>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Nie – 1 pkt</w:t>
            </w: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31</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t xml:space="preserve">Analiza zmian odcinka QT oraz obliczanie wartości </w:t>
            </w:r>
            <w:proofErr w:type="spellStart"/>
            <w:r w:rsidRPr="00AE0058">
              <w:rPr>
                <w:rFonts w:cs="Times New Roman"/>
              </w:rPr>
              <w:t>QTc</w:t>
            </w:r>
            <w:proofErr w:type="spellEnd"/>
            <w:r w:rsidRPr="00AE0058">
              <w:rPr>
                <w:rFonts w:cs="Times New Roman"/>
              </w:rPr>
              <w:tab/>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Parametr oceniany</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 – 5 pkt</w:t>
            </w:r>
          </w:p>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Nie – 1 pkt</w:t>
            </w: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32</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t xml:space="preserve">Pomiar częstości oddechu metodą impedancyjną. Zakres pomiarowy częstości oddechu co najmniej od 5 do 100 R/min. Możliwość wyboru </w:t>
            </w:r>
            <w:proofErr w:type="spellStart"/>
            <w:r w:rsidRPr="00AE0058">
              <w:rPr>
                <w:rFonts w:cs="Times New Roman"/>
              </w:rPr>
              <w:t>odprowadzeń</w:t>
            </w:r>
            <w:proofErr w:type="spellEnd"/>
            <w:r w:rsidRPr="00AE0058">
              <w:rPr>
                <w:rFonts w:cs="Times New Roman"/>
              </w:rPr>
              <w:t xml:space="preserve"> do monitorowania respiracji. Wybór prędkości przesuwu krzywych co najmniej: 3; 6.25; 12.5; 25 mm/s</w:t>
            </w:r>
            <w:r w:rsidRPr="00AE0058">
              <w:rPr>
                <w:rFonts w:cs="Times New Roman"/>
              </w:rPr>
              <w:tab/>
            </w:r>
            <w:r w:rsidRPr="00AE0058">
              <w:rPr>
                <w:rFonts w:cs="Times New Roman"/>
              </w:rPr>
              <w:tab/>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Parametr oceniany</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 – 5 pkt</w:t>
            </w:r>
          </w:p>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Nie – 1 pkt</w:t>
            </w: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33</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rPr>
                <w:rFonts w:asciiTheme="minorHAnsi" w:hAnsiTheme="minorHAnsi" w:cs="Times New Roman"/>
                <w:sz w:val="22"/>
                <w:szCs w:val="22"/>
              </w:rPr>
            </w:pPr>
            <w:r w:rsidRPr="00AE0058">
              <w:rPr>
                <w:rFonts w:asciiTheme="minorHAnsi" w:hAnsiTheme="minorHAnsi" w:cs="Times New Roman"/>
                <w:sz w:val="22"/>
                <w:szCs w:val="22"/>
              </w:rPr>
              <w:t xml:space="preserve">Saturacja. Zakres pomiarowy SpO2 0-100%. Zakres pomiarowy częstości pulsu co najmniej 30-300 P/min. Jednoczesne wyświetlanie krzywej </w:t>
            </w:r>
            <w:proofErr w:type="spellStart"/>
            <w:r w:rsidRPr="00AE0058">
              <w:rPr>
                <w:rFonts w:asciiTheme="minorHAnsi" w:hAnsiTheme="minorHAnsi" w:cs="Times New Roman"/>
                <w:sz w:val="22"/>
                <w:szCs w:val="22"/>
              </w:rPr>
              <w:t>pletzymograficznej</w:t>
            </w:r>
            <w:proofErr w:type="spellEnd"/>
            <w:r w:rsidRPr="00AE0058">
              <w:rPr>
                <w:rFonts w:asciiTheme="minorHAnsi" w:hAnsiTheme="minorHAnsi" w:cs="Times New Roman"/>
                <w:sz w:val="22"/>
                <w:szCs w:val="22"/>
              </w:rPr>
              <w:t xml:space="preserve"> oraz wartości % saturacji, częstości pulsu. Alarm </w:t>
            </w:r>
            <w:proofErr w:type="spellStart"/>
            <w:r w:rsidRPr="00AE0058">
              <w:rPr>
                <w:rFonts w:asciiTheme="minorHAnsi" w:hAnsiTheme="minorHAnsi" w:cs="Times New Roman"/>
                <w:sz w:val="22"/>
                <w:szCs w:val="22"/>
              </w:rPr>
              <w:t>desaturacji</w:t>
            </w:r>
            <w:proofErr w:type="spellEnd"/>
            <w:r w:rsidRPr="00AE0058">
              <w:rPr>
                <w:rFonts w:asciiTheme="minorHAnsi" w:hAnsiTheme="minorHAnsi" w:cs="Times New Roman"/>
                <w:sz w:val="22"/>
                <w:szCs w:val="22"/>
              </w:rPr>
              <w:t>. W komplecie z monitorem przewód interfejsowy oraz  2 wielorazowe czujniki SpO2 typu klips na palec</w:t>
            </w:r>
            <w:r w:rsidRPr="00AE0058">
              <w:rPr>
                <w:rFonts w:asciiTheme="minorHAnsi" w:hAnsiTheme="minorHAnsi" w:cs="Times New Roman"/>
                <w:sz w:val="22"/>
                <w:szCs w:val="22"/>
              </w:rPr>
              <w:tab/>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34</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t xml:space="preserve">Nieinwazyjny pomiar ciśnienia metodą oscylometryczną. Pomiar ręczny, automatyczny i ciągły (powtarzające się pomiary w okresie co najmniej 4 min. Prezentacja wartości: skurczowej, rozkurczowej oraz średniej. Funkcja </w:t>
            </w:r>
            <w:proofErr w:type="spellStart"/>
            <w:r w:rsidRPr="00AE0058">
              <w:rPr>
                <w:rFonts w:cs="Times New Roman"/>
              </w:rPr>
              <w:t>stazy</w:t>
            </w:r>
            <w:proofErr w:type="spellEnd"/>
            <w:r w:rsidRPr="00AE0058">
              <w:rPr>
                <w:rFonts w:cs="Times New Roman"/>
              </w:rPr>
              <w:t>. W komplecie z monitorem przewód oraz mankiety mały, średni i duży dla dorosłych oraz mankiet dla osób otyłych</w:t>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35</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t xml:space="preserve">Pomiar temperatury, min 1 tor pomiarowy. </w:t>
            </w:r>
            <w:r w:rsidRPr="00AE0058">
              <w:rPr>
                <w:rFonts w:cs="Times New Roman"/>
              </w:rPr>
              <w:tab/>
              <w:t>W komplecie powierzchniowy oraz przełykowy czujnik temperatury dla dorosłych (wielorazowy)</w:t>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3</w:t>
            </w:r>
            <w:r w:rsidRPr="00AE0058">
              <w:rPr>
                <w:rFonts w:asciiTheme="minorHAnsi" w:hAnsiTheme="minorHAnsi" w:cs="Times New Roman"/>
                <w:sz w:val="22"/>
                <w:szCs w:val="22"/>
              </w:rPr>
              <w:lastRenderedPageBreak/>
              <w:t>6</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lastRenderedPageBreak/>
              <w:t xml:space="preserve">Alarmy: ustawianie granic alarmowych przez </w:t>
            </w:r>
            <w:r w:rsidRPr="00AE0058">
              <w:rPr>
                <w:rFonts w:cs="Times New Roman"/>
              </w:rPr>
              <w:lastRenderedPageBreak/>
              <w:t>użytkownika. Ustawianie głośności alarmowania.</w:t>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lastRenderedPageBreak/>
              <w:t>Tak</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lastRenderedPageBreak/>
              <w:t>37</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t xml:space="preserve">Przynajmniej 24- godzinne trendy wszystkich mierzonych parametrów, </w:t>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38</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t>Zapamiętywanie co najmniej 500 zdarzeń alarmowych (krzywe i odpowiadające im wartości parametrów)</w:t>
            </w:r>
            <w:r w:rsidRPr="00AE0058">
              <w:rPr>
                <w:rFonts w:cs="Times New Roman"/>
              </w:rPr>
              <w:tab/>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Parametr oceniany</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 – 5 pkt</w:t>
            </w:r>
          </w:p>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Nie – 1 pkt</w:t>
            </w:r>
          </w:p>
        </w:tc>
      </w:tr>
      <w:tr w:rsidR="00AE32B7" w:rsidRPr="00AE0058" w:rsidTr="00CC7D06">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39</w:t>
            </w:r>
          </w:p>
        </w:tc>
        <w:tc>
          <w:tcPr>
            <w:tcW w:w="48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rPr>
                <w:rFonts w:cs="Times New Roman"/>
              </w:rPr>
            </w:pPr>
            <w:r w:rsidRPr="00AE0058">
              <w:rPr>
                <w:rFonts w:cs="Times New Roman"/>
              </w:rPr>
              <w:t>Monitor przystosowany do pracy w sieci</w:t>
            </w:r>
            <w:r w:rsidRPr="00AE0058">
              <w:rPr>
                <w:rFonts w:cs="Times New Roman"/>
              </w:rPr>
              <w:tab/>
            </w:r>
          </w:p>
        </w:tc>
        <w:tc>
          <w:tcPr>
            <w:tcW w:w="12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Parametr oceniany</w:t>
            </w:r>
          </w:p>
        </w:tc>
        <w:tc>
          <w:tcPr>
            <w:tcW w:w="141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 – 5 pkt</w:t>
            </w:r>
          </w:p>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Nie – 1 pkt</w:t>
            </w:r>
          </w:p>
        </w:tc>
      </w:tr>
      <w:tr w:rsidR="00AE32B7" w:rsidRPr="00AE0058" w:rsidTr="00CC7D06">
        <w:trPr>
          <w:trHeight w:val="226"/>
        </w:trPr>
        <w:tc>
          <w:tcPr>
            <w:tcW w:w="104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CC7D06">
            <w:pPr>
              <w:pStyle w:val="Standard"/>
              <w:jc w:val="center"/>
              <w:rPr>
                <w:rFonts w:asciiTheme="minorHAnsi" w:hAnsiTheme="minorHAnsi" w:cs="Times New Roman"/>
                <w:sz w:val="22"/>
                <w:szCs w:val="22"/>
              </w:rPr>
            </w:pPr>
          </w:p>
          <w:p w:rsidR="00AE32B7" w:rsidRPr="00AE0058" w:rsidRDefault="00AE32B7" w:rsidP="00CC7D06">
            <w:pPr>
              <w:pStyle w:val="Standard"/>
              <w:jc w:val="center"/>
              <w:rPr>
                <w:rFonts w:asciiTheme="minorHAnsi" w:hAnsiTheme="minorHAnsi"/>
                <w:b/>
                <w:sz w:val="22"/>
                <w:szCs w:val="22"/>
              </w:rPr>
            </w:pPr>
            <w:r w:rsidRPr="00AE0058">
              <w:rPr>
                <w:rFonts w:asciiTheme="minorHAnsi" w:hAnsiTheme="minorHAnsi"/>
                <w:b/>
                <w:sz w:val="22"/>
                <w:szCs w:val="22"/>
              </w:rPr>
              <w:t>Warunki gwarancji</w:t>
            </w:r>
          </w:p>
        </w:tc>
      </w:tr>
      <w:tr w:rsidR="00AE32B7" w:rsidRPr="00AE0058" w:rsidTr="00CC7D06">
        <w:trPr>
          <w:trHeight w:val="554"/>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40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CC7D06">
            <w:pPr>
              <w:pStyle w:val="Standard"/>
              <w:rPr>
                <w:rFonts w:asciiTheme="minorHAnsi" w:hAnsiTheme="minorHAnsi"/>
                <w:sz w:val="22"/>
                <w:szCs w:val="22"/>
              </w:rPr>
            </w:pPr>
            <w:r w:rsidRPr="00AE0058">
              <w:rPr>
                <w:rStyle w:val="FontStyle15"/>
                <w:rFonts w:asciiTheme="minorHAnsi" w:hAnsiTheme="minorHAnsi"/>
              </w:rPr>
              <w:t xml:space="preserve">Wymagana gwarancja – </w:t>
            </w:r>
            <w:r w:rsidRPr="00AE0058">
              <w:rPr>
                <w:rStyle w:val="FontStyle15"/>
                <w:rFonts w:asciiTheme="minorHAnsi" w:hAnsiTheme="minorHAnsi"/>
                <w:b/>
                <w:color w:val="0000FF"/>
              </w:rPr>
              <w:t xml:space="preserve">24 miesiące </w:t>
            </w:r>
            <w:r w:rsidRPr="00AE0058">
              <w:rPr>
                <w:rStyle w:val="FontStyle15"/>
                <w:rFonts w:asciiTheme="minorHAnsi" w:hAnsiTheme="minorHAnsi"/>
              </w:rPr>
              <w:t>- zgodnie z warunkami określonymi w projekcie umowy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r>
      <w:tr w:rsidR="00AE32B7" w:rsidRPr="00AE0058" w:rsidTr="00CC7D06">
        <w:trPr>
          <w:trHeight w:val="554"/>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AE32B7">
            <w:pPr>
              <w:pStyle w:val="Standard"/>
              <w:numPr>
                <w:ilvl w:val="0"/>
                <w:numId w:val="8"/>
              </w:numPr>
              <w:jc w:val="center"/>
              <w:rPr>
                <w:rFonts w:asciiTheme="minorHAnsi" w:hAnsiTheme="minorHAnsi" w:cs="Times New Roman"/>
                <w:sz w:val="22"/>
                <w:szCs w:val="22"/>
              </w:rPr>
            </w:pPr>
            <w:r w:rsidRPr="00AE0058">
              <w:rPr>
                <w:rFonts w:asciiTheme="minorHAnsi" w:hAnsiTheme="minorHAnsi" w:cs="Times New Roman"/>
                <w:sz w:val="22"/>
                <w:szCs w:val="22"/>
              </w:rPr>
              <w:t>41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E32B7" w:rsidRPr="00AE0058" w:rsidRDefault="00AE32B7" w:rsidP="00CC7D06">
            <w:pPr>
              <w:autoSpaceDE w:val="0"/>
              <w:rPr>
                <w:rFonts w:eastAsia="Times New Roman" w:cs="Times New Roman"/>
                <w:color w:val="000000"/>
                <w:lang w:eastAsia="ar-SA"/>
              </w:rPr>
            </w:pPr>
            <w:r w:rsidRPr="00AE0058">
              <w:rPr>
                <w:rFonts w:eastAsia="Times New Roman" w:cs="Times New Roman"/>
                <w:color w:val="000000"/>
                <w:lang w:eastAsia="ar-SA"/>
              </w:rPr>
              <w:t>Do każdego urządzenia powinny być załączone</w:t>
            </w:r>
          </w:p>
          <w:p w:rsidR="00AE32B7" w:rsidRPr="00AE0058" w:rsidRDefault="00AE32B7" w:rsidP="00CC7D06">
            <w:pPr>
              <w:autoSpaceDE w:val="0"/>
              <w:rPr>
                <w:rFonts w:eastAsia="Times New Roman" w:cs="Times New Roman"/>
                <w:color w:val="000000"/>
                <w:lang w:val="en-US" w:eastAsia="ar-SA"/>
              </w:rPr>
            </w:pPr>
            <w:proofErr w:type="spellStart"/>
            <w:r w:rsidRPr="00AE0058">
              <w:rPr>
                <w:rFonts w:eastAsia="Times New Roman" w:cs="Times New Roman"/>
                <w:color w:val="000000"/>
                <w:lang w:val="en-US" w:eastAsia="ar-SA"/>
              </w:rPr>
              <w:t>następujące</w:t>
            </w:r>
            <w:proofErr w:type="spellEnd"/>
            <w:r w:rsidRPr="00AE0058">
              <w:rPr>
                <w:rFonts w:eastAsia="Times New Roman" w:cs="Times New Roman"/>
                <w:color w:val="000000"/>
                <w:lang w:val="en-US" w:eastAsia="ar-SA"/>
              </w:rPr>
              <w:t xml:space="preserve"> </w:t>
            </w:r>
            <w:proofErr w:type="spellStart"/>
            <w:r w:rsidRPr="00AE0058">
              <w:rPr>
                <w:rFonts w:eastAsia="Times New Roman" w:cs="Times New Roman"/>
                <w:color w:val="000000"/>
                <w:lang w:val="en-US" w:eastAsia="ar-SA"/>
              </w:rPr>
              <w:t>dokumenty</w:t>
            </w:r>
            <w:proofErr w:type="spellEnd"/>
            <w:r w:rsidRPr="00AE0058">
              <w:rPr>
                <w:rFonts w:eastAsia="Times New Roman" w:cs="Times New Roman"/>
                <w:color w:val="000000"/>
                <w:lang w:val="en-US" w:eastAsia="ar-SA"/>
              </w:rPr>
              <w:t>:</w:t>
            </w:r>
          </w:p>
          <w:p w:rsidR="00AE32B7" w:rsidRPr="00AE0058" w:rsidRDefault="00AE32B7" w:rsidP="00AE32B7">
            <w:pPr>
              <w:numPr>
                <w:ilvl w:val="0"/>
                <w:numId w:val="4"/>
              </w:numPr>
              <w:tabs>
                <w:tab w:val="left" w:pos="210"/>
                <w:tab w:val="left" w:pos="708"/>
              </w:tabs>
              <w:autoSpaceDE w:val="0"/>
              <w:autoSpaceDN w:val="0"/>
              <w:spacing w:after="0" w:line="240" w:lineRule="auto"/>
              <w:rPr>
                <w:rFonts w:eastAsia="Times New Roman" w:cs="Times New Roman"/>
                <w:color w:val="000000"/>
                <w:lang w:val="en-US" w:eastAsia="ar-SA"/>
              </w:rPr>
            </w:pPr>
            <w:proofErr w:type="spellStart"/>
            <w:r w:rsidRPr="00AE0058">
              <w:rPr>
                <w:rFonts w:eastAsia="Times New Roman" w:cs="Times New Roman"/>
                <w:color w:val="000000"/>
                <w:lang w:val="en-US" w:eastAsia="ar-SA"/>
              </w:rPr>
              <w:t>Instrukcja</w:t>
            </w:r>
            <w:proofErr w:type="spellEnd"/>
            <w:r w:rsidRPr="00AE0058">
              <w:rPr>
                <w:rFonts w:eastAsia="Times New Roman" w:cs="Times New Roman"/>
                <w:color w:val="000000"/>
                <w:lang w:val="en-US" w:eastAsia="ar-SA"/>
              </w:rPr>
              <w:t xml:space="preserve"> w </w:t>
            </w:r>
            <w:proofErr w:type="spellStart"/>
            <w:r w:rsidRPr="00AE0058">
              <w:rPr>
                <w:rFonts w:eastAsia="Times New Roman" w:cs="Times New Roman"/>
                <w:color w:val="000000"/>
                <w:lang w:val="en-US" w:eastAsia="ar-SA"/>
              </w:rPr>
              <w:t>języku</w:t>
            </w:r>
            <w:proofErr w:type="spellEnd"/>
            <w:r w:rsidRPr="00AE0058">
              <w:rPr>
                <w:rFonts w:eastAsia="Times New Roman" w:cs="Times New Roman"/>
                <w:color w:val="000000"/>
                <w:lang w:val="en-US" w:eastAsia="ar-SA"/>
              </w:rPr>
              <w:t xml:space="preserve"> </w:t>
            </w:r>
            <w:proofErr w:type="spellStart"/>
            <w:r w:rsidRPr="00AE0058">
              <w:rPr>
                <w:rFonts w:eastAsia="Times New Roman" w:cs="Times New Roman"/>
                <w:color w:val="000000"/>
                <w:lang w:val="en-US" w:eastAsia="ar-SA"/>
              </w:rPr>
              <w:t>polskim</w:t>
            </w:r>
            <w:proofErr w:type="spellEnd"/>
          </w:p>
          <w:p w:rsidR="00AE32B7" w:rsidRPr="00AE0058" w:rsidRDefault="00AE32B7" w:rsidP="00AE32B7">
            <w:pPr>
              <w:numPr>
                <w:ilvl w:val="0"/>
                <w:numId w:val="4"/>
              </w:numPr>
              <w:tabs>
                <w:tab w:val="left" w:pos="210"/>
                <w:tab w:val="left" w:pos="708"/>
              </w:tabs>
              <w:autoSpaceDE w:val="0"/>
              <w:autoSpaceDN w:val="0"/>
              <w:spacing w:after="0" w:line="240" w:lineRule="auto"/>
            </w:pPr>
            <w:r w:rsidRPr="00AE0058">
              <w:rPr>
                <w:rFonts w:eastAsia="Times New Roman" w:cs="Times New Roman"/>
                <w:color w:val="000000"/>
                <w:lang w:eastAsia="ar-SA"/>
              </w:rPr>
              <w:t>Wykaz dostawców części zamiennych i materiałów eksploatacyjnych - Dokument o którym mowa w Ustawie o wyrobach medycznych z dnia 20 maja 2010 r., Art. 90, ust. 3</w:t>
            </w:r>
          </w:p>
          <w:p w:rsidR="00AE32B7" w:rsidRPr="00AE0058" w:rsidRDefault="00AE32B7" w:rsidP="00CC7D06">
            <w:pPr>
              <w:pStyle w:val="Standard"/>
              <w:rPr>
                <w:rFonts w:asciiTheme="minorHAnsi" w:hAnsiTheme="minorHAnsi"/>
                <w:sz w:val="22"/>
                <w:szCs w:val="22"/>
              </w:rPr>
            </w:pPr>
            <w:r w:rsidRPr="00AE0058">
              <w:rPr>
                <w:rFonts w:asciiTheme="minorHAnsi" w:eastAsia="Times New Roman" w:hAnsiTheme="minorHAnsi" w:cs="Times New Roman"/>
                <w:color w:val="000000"/>
                <w:sz w:val="22"/>
                <w:szCs w:val="22"/>
                <w:lang w:eastAsia="pl-PL" w:bidi="ar-SA"/>
              </w:rPr>
              <w:t>Wykaz podmiotów obsługi serwisowej - Dokument o którym mowa w Ustawie o wyrobach medycznych z dnia 20 maja 2010 r., Art. 90, ust. ust.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E32B7" w:rsidRPr="00AE0058" w:rsidRDefault="00AE32B7" w:rsidP="00CC7D06">
            <w:pPr>
              <w:pStyle w:val="Standard"/>
              <w:jc w:val="center"/>
              <w:rPr>
                <w:rFonts w:asciiTheme="minorHAnsi" w:hAnsiTheme="minorHAnsi" w:cs="Times New Roman"/>
                <w:sz w:val="22"/>
                <w:szCs w:val="22"/>
              </w:rPr>
            </w:pPr>
            <w:r w:rsidRPr="00AE0058">
              <w:rPr>
                <w:rFonts w:asciiTheme="minorHAnsi" w:hAnsiTheme="minorHAnsi" w:cs="Times New Roman"/>
                <w:sz w:val="22"/>
                <w:szCs w:val="22"/>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32B7" w:rsidRPr="00AE0058" w:rsidRDefault="00AE32B7" w:rsidP="00CC7D06">
            <w:pPr>
              <w:pStyle w:val="Standard"/>
              <w:rPr>
                <w:rFonts w:asciiTheme="minorHAnsi" w:hAnsiTheme="minorHAnsi" w:cs="Times New Roman"/>
                <w:sz w:val="22"/>
                <w:szCs w:val="22"/>
              </w:rPr>
            </w:pPr>
          </w:p>
        </w:tc>
      </w:tr>
    </w:tbl>
    <w:p w:rsidR="00B64E17" w:rsidRDefault="00B64E17" w:rsidP="00B64E17">
      <w:pPr>
        <w:jc w:val="center"/>
        <w:rPr>
          <w:rFonts w:ascii="Times New Roman" w:eastAsia="SimSun" w:hAnsi="Times New Roman" w:cs="Times New Roman"/>
          <w:b/>
          <w:bCs/>
          <w:sz w:val="28"/>
          <w:szCs w:val="28"/>
        </w:rPr>
      </w:pPr>
    </w:p>
    <w:p w:rsidR="00AE32B7" w:rsidRDefault="00AE32B7" w:rsidP="00B64E17">
      <w:pPr>
        <w:jc w:val="center"/>
        <w:rPr>
          <w:rFonts w:ascii="Times New Roman" w:eastAsia="SimSun" w:hAnsi="Times New Roman" w:cs="Times New Roman"/>
          <w:b/>
          <w:bCs/>
          <w:sz w:val="28"/>
          <w:szCs w:val="28"/>
        </w:rPr>
      </w:pPr>
    </w:p>
    <w:p w:rsidR="00B64E17" w:rsidRDefault="00B64E17" w:rsidP="00B64E17"/>
    <w:p w:rsidR="00AB7AC2" w:rsidRPr="008022BD" w:rsidRDefault="00AB7AC2" w:rsidP="00B64E17"/>
    <w:p w:rsidR="00AB7AC2" w:rsidRDefault="00AB7AC2" w:rsidP="00AB7AC2">
      <w:pPr>
        <w:tabs>
          <w:tab w:val="left" w:pos="1230"/>
        </w:tabs>
        <w:jc w:val="center"/>
        <w:rPr>
          <w:b/>
          <w:bCs/>
        </w:rPr>
      </w:pPr>
    </w:p>
    <w:p w:rsidR="0031692A" w:rsidRDefault="0031692A"/>
    <w:sectPr w:rsidR="0031692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1A" w:rsidRDefault="00454F1A" w:rsidP="00B64E17">
      <w:pPr>
        <w:spacing w:after="0" w:line="240" w:lineRule="auto"/>
      </w:pPr>
      <w:r>
        <w:separator/>
      </w:r>
    </w:p>
  </w:endnote>
  <w:endnote w:type="continuationSeparator" w:id="0">
    <w:p w:rsidR="00454F1A" w:rsidRDefault="00454F1A" w:rsidP="00B6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rPr>
      <w:id w:val="-1748111299"/>
      <w:docPartObj>
        <w:docPartGallery w:val="Page Numbers (Bottom of Page)"/>
        <w:docPartUnique/>
      </w:docPartObj>
    </w:sdtPr>
    <w:sdtContent>
      <w:p w:rsidR="00CD73E2" w:rsidRPr="00CD73E2" w:rsidRDefault="00CD73E2">
        <w:pPr>
          <w:pStyle w:val="Stopka"/>
          <w:jc w:val="right"/>
          <w:rPr>
            <w:rFonts w:eastAsiaTheme="majorEastAsia" w:cstheme="majorBidi"/>
          </w:rPr>
        </w:pPr>
        <w:r w:rsidRPr="00CD73E2">
          <w:rPr>
            <w:rFonts w:eastAsiaTheme="majorEastAsia" w:cstheme="majorBidi"/>
          </w:rPr>
          <w:t xml:space="preserve">str. </w:t>
        </w:r>
        <w:r w:rsidRPr="00CD73E2">
          <w:rPr>
            <w:rFonts w:eastAsiaTheme="minorEastAsia"/>
          </w:rPr>
          <w:fldChar w:fldCharType="begin"/>
        </w:r>
        <w:r w:rsidRPr="00CD73E2">
          <w:instrText>PAGE    \* MERGEFORMAT</w:instrText>
        </w:r>
        <w:r w:rsidRPr="00CD73E2">
          <w:rPr>
            <w:rFonts w:eastAsiaTheme="minorEastAsia"/>
          </w:rPr>
          <w:fldChar w:fldCharType="separate"/>
        </w:r>
        <w:r w:rsidR="008E67EB" w:rsidRPr="008E67EB">
          <w:rPr>
            <w:rFonts w:eastAsiaTheme="majorEastAsia" w:cstheme="majorBidi"/>
            <w:noProof/>
          </w:rPr>
          <w:t>1</w:t>
        </w:r>
        <w:r w:rsidRPr="00CD73E2">
          <w:rPr>
            <w:rFonts w:eastAsiaTheme="majorEastAsia" w:cstheme="majorBidi"/>
          </w:rPr>
          <w:fldChar w:fldCharType="end"/>
        </w:r>
      </w:p>
    </w:sdtContent>
  </w:sdt>
  <w:p w:rsidR="00CD73E2" w:rsidRDefault="00CD73E2">
    <w:pPr>
      <w:pStyle w:val="Stopka"/>
    </w:pPr>
    <w:r>
      <w:t>Załącznik nr 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1A" w:rsidRDefault="00454F1A" w:rsidP="00B64E17">
      <w:pPr>
        <w:spacing w:after="0" w:line="240" w:lineRule="auto"/>
      </w:pPr>
      <w:r>
        <w:separator/>
      </w:r>
    </w:p>
  </w:footnote>
  <w:footnote w:type="continuationSeparator" w:id="0">
    <w:p w:rsidR="00454F1A" w:rsidRDefault="00454F1A" w:rsidP="00B64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E17" w:rsidRDefault="00B64E17">
    <w:pPr>
      <w:pStyle w:val="Nagwek"/>
    </w:pPr>
    <w:r>
      <w:rPr>
        <w:rFonts w:ascii="Times New Roman" w:eastAsia="Times New Roman" w:hAnsi="Times New Roman" w:cs="Times New Roman"/>
        <w:noProof/>
        <w:sz w:val="20"/>
        <w:szCs w:val="20"/>
        <w:lang w:eastAsia="pl-PL"/>
      </w:rPr>
      <w:drawing>
        <wp:inline distT="0" distB="0" distL="0" distR="0" wp14:anchorId="5444DEDF" wp14:editId="7126F9D5">
          <wp:extent cx="5760720" cy="556260"/>
          <wp:effectExtent l="0" t="0" r="0" b="0"/>
          <wp:docPr id="1" name="Obraz 1" descr="http://rpo.warmia.mazury.pl/zdjecia/strona/Oznaczenia_2018/EFRR_-_poziom.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55626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B78A6"/>
    <w:multiLevelType w:val="hybridMultilevel"/>
    <w:tmpl w:val="7E482DB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33A924F6"/>
    <w:multiLevelType w:val="hybridMultilevel"/>
    <w:tmpl w:val="9BFA6F9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E603B30"/>
    <w:multiLevelType w:val="hybridMultilevel"/>
    <w:tmpl w:val="20DE2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9F643A8"/>
    <w:multiLevelType w:val="multilevel"/>
    <w:tmpl w:val="AAB0A6EE"/>
    <w:lvl w:ilvl="0">
      <w:numFmt w:val="bullet"/>
      <w:lvlText w:val="•"/>
      <w:lvlJc w:val="left"/>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706E0703"/>
    <w:multiLevelType w:val="hybridMultilevel"/>
    <w:tmpl w:val="65C2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B071E71"/>
    <w:multiLevelType w:val="hybridMultilevel"/>
    <w:tmpl w:val="06B471D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17"/>
    <w:rsid w:val="0031692A"/>
    <w:rsid w:val="003B33D7"/>
    <w:rsid w:val="00454F1A"/>
    <w:rsid w:val="00610932"/>
    <w:rsid w:val="007F250D"/>
    <w:rsid w:val="008E67EB"/>
    <w:rsid w:val="0098195E"/>
    <w:rsid w:val="00AB7AC2"/>
    <w:rsid w:val="00AE0058"/>
    <w:rsid w:val="00AE32B7"/>
    <w:rsid w:val="00AE5A41"/>
    <w:rsid w:val="00B64E17"/>
    <w:rsid w:val="00C305E3"/>
    <w:rsid w:val="00CD73E2"/>
    <w:rsid w:val="00EA4E8B"/>
    <w:rsid w:val="00F11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64E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E17"/>
    <w:rPr>
      <w:rFonts w:ascii="Tahoma" w:hAnsi="Tahoma" w:cs="Tahoma"/>
      <w:sz w:val="16"/>
      <w:szCs w:val="16"/>
    </w:rPr>
  </w:style>
  <w:style w:type="paragraph" w:styleId="Nagwek">
    <w:name w:val="header"/>
    <w:basedOn w:val="Normalny"/>
    <w:link w:val="NagwekZnak"/>
    <w:uiPriority w:val="99"/>
    <w:unhideWhenUsed/>
    <w:rsid w:val="00B64E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4E17"/>
  </w:style>
  <w:style w:type="paragraph" w:styleId="Stopka">
    <w:name w:val="footer"/>
    <w:basedOn w:val="Normalny"/>
    <w:link w:val="StopkaZnak"/>
    <w:uiPriority w:val="99"/>
    <w:unhideWhenUsed/>
    <w:rsid w:val="00B64E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4E17"/>
  </w:style>
  <w:style w:type="table" w:styleId="Tabela-Siatka">
    <w:name w:val="Table Grid"/>
    <w:basedOn w:val="Standardowy"/>
    <w:uiPriority w:val="59"/>
    <w:rsid w:val="00B64E17"/>
    <w:pPr>
      <w:autoSpaceDN w:val="0"/>
      <w:spacing w:after="0" w:line="240" w:lineRule="auto"/>
      <w:textAlignment w:val="baseline"/>
    </w:pPr>
    <w:rPr>
      <w:rFonts w:ascii="Liberation Serif" w:eastAsia="NSimSun" w:hAnsi="Liberation Serif"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64E1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64E17"/>
    <w:rPr>
      <w:rFonts w:ascii="Times New Roman" w:eastAsia="Times New Roman" w:hAnsi="Times New Roman" w:cs="Times New Roman"/>
      <w:sz w:val="24"/>
      <w:szCs w:val="24"/>
      <w:lang w:eastAsia="ar-SA"/>
    </w:rPr>
  </w:style>
  <w:style w:type="paragraph" w:customStyle="1" w:styleId="Standard">
    <w:name w:val="Standard"/>
    <w:rsid w:val="00AE32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FontStyle15">
    <w:name w:val="Font Style15"/>
    <w:rsid w:val="00AE32B7"/>
    <w:rPr>
      <w:rFonts w:ascii="Times New Roman" w:hAnsi="Times New Roman" w:cs="Times New Roman"/>
      <w:color w:val="000000"/>
      <w:sz w:val="22"/>
      <w:szCs w:val="22"/>
    </w:rPr>
  </w:style>
  <w:style w:type="paragraph" w:customStyle="1" w:styleId="Default">
    <w:name w:val="Default"/>
    <w:rsid w:val="00AE32B7"/>
    <w:pPr>
      <w:autoSpaceDE w:val="0"/>
      <w:autoSpaceDN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64E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E17"/>
    <w:rPr>
      <w:rFonts w:ascii="Tahoma" w:hAnsi="Tahoma" w:cs="Tahoma"/>
      <w:sz w:val="16"/>
      <w:szCs w:val="16"/>
    </w:rPr>
  </w:style>
  <w:style w:type="paragraph" w:styleId="Nagwek">
    <w:name w:val="header"/>
    <w:basedOn w:val="Normalny"/>
    <w:link w:val="NagwekZnak"/>
    <w:uiPriority w:val="99"/>
    <w:unhideWhenUsed/>
    <w:rsid w:val="00B64E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4E17"/>
  </w:style>
  <w:style w:type="paragraph" w:styleId="Stopka">
    <w:name w:val="footer"/>
    <w:basedOn w:val="Normalny"/>
    <w:link w:val="StopkaZnak"/>
    <w:uiPriority w:val="99"/>
    <w:unhideWhenUsed/>
    <w:rsid w:val="00B64E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4E17"/>
  </w:style>
  <w:style w:type="table" w:styleId="Tabela-Siatka">
    <w:name w:val="Table Grid"/>
    <w:basedOn w:val="Standardowy"/>
    <w:uiPriority w:val="59"/>
    <w:rsid w:val="00B64E17"/>
    <w:pPr>
      <w:autoSpaceDN w:val="0"/>
      <w:spacing w:after="0" w:line="240" w:lineRule="auto"/>
      <w:textAlignment w:val="baseline"/>
    </w:pPr>
    <w:rPr>
      <w:rFonts w:ascii="Liberation Serif" w:eastAsia="NSimSun" w:hAnsi="Liberation Serif"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64E1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64E17"/>
    <w:rPr>
      <w:rFonts w:ascii="Times New Roman" w:eastAsia="Times New Roman" w:hAnsi="Times New Roman" w:cs="Times New Roman"/>
      <w:sz w:val="24"/>
      <w:szCs w:val="24"/>
      <w:lang w:eastAsia="ar-SA"/>
    </w:rPr>
  </w:style>
  <w:style w:type="paragraph" w:customStyle="1" w:styleId="Standard">
    <w:name w:val="Standard"/>
    <w:rsid w:val="00AE32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FontStyle15">
    <w:name w:val="Font Style15"/>
    <w:rsid w:val="00AE32B7"/>
    <w:rPr>
      <w:rFonts w:ascii="Times New Roman" w:hAnsi="Times New Roman" w:cs="Times New Roman"/>
      <w:color w:val="000000"/>
      <w:sz w:val="22"/>
      <w:szCs w:val="22"/>
    </w:rPr>
  </w:style>
  <w:style w:type="paragraph" w:customStyle="1" w:styleId="Default">
    <w:name w:val="Default"/>
    <w:rsid w:val="00AE32B7"/>
    <w:pPr>
      <w:autoSpaceDE w:val="0"/>
      <w:autoSpaceDN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636</Words>
  <Characters>3821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User_ADM_06</dc:creator>
  <cp:lastModifiedBy>User_ADM_06</cp:lastModifiedBy>
  <cp:revision>6</cp:revision>
  <cp:lastPrinted>2020-10-27T08:21:00Z</cp:lastPrinted>
  <dcterms:created xsi:type="dcterms:W3CDTF">2020-10-20T08:35:00Z</dcterms:created>
  <dcterms:modified xsi:type="dcterms:W3CDTF">2020-10-27T08:32:00Z</dcterms:modified>
</cp:coreProperties>
</file>