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328"/>
        <w:tblW w:w="8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32"/>
      </w:tblGrid>
      <w:tr w:rsidR="00B64E17" w:rsidTr="00AB7AC2">
        <w:tc>
          <w:tcPr>
            <w:tcW w:w="4361" w:type="dxa"/>
          </w:tcPr>
          <w:p w:rsidR="00B64E17" w:rsidRDefault="00AE68C0" w:rsidP="00B64E17">
            <w:pPr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ZOZ.V-260-68</w:t>
            </w:r>
            <w:r w:rsidR="00B64E1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/ZP/20                                                              </w:t>
            </w:r>
          </w:p>
        </w:tc>
        <w:tc>
          <w:tcPr>
            <w:tcW w:w="4632" w:type="dxa"/>
          </w:tcPr>
          <w:p w:rsidR="00B64E17" w:rsidRDefault="00B64E17" w:rsidP="00B64E17">
            <w:pPr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</w:p>
          <w:p w:rsidR="00B64E17" w:rsidRDefault="00B64E17" w:rsidP="00DD3762">
            <w:pPr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Załącznik nr </w:t>
            </w:r>
            <w:r w:rsidR="00DD376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 do SIWZ</w:t>
            </w:r>
          </w:p>
        </w:tc>
      </w:tr>
    </w:tbl>
    <w:p w:rsidR="00B64E17" w:rsidRDefault="00B64E17" w:rsidP="00B64E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E17" w:rsidRPr="00AB7AC2" w:rsidRDefault="00B64E17" w:rsidP="00B64E17">
      <w:pPr>
        <w:jc w:val="center"/>
        <w:rPr>
          <w:rFonts w:eastAsia="Times New Roman" w:cs="Times New Roman"/>
          <w:b/>
          <w:sz w:val="24"/>
          <w:szCs w:val="24"/>
        </w:rPr>
      </w:pPr>
      <w:r w:rsidRPr="00AB7AC2">
        <w:rPr>
          <w:rFonts w:eastAsia="Times New Roman" w:cs="Times New Roman"/>
          <w:b/>
          <w:sz w:val="24"/>
          <w:szCs w:val="24"/>
        </w:rPr>
        <w:t xml:space="preserve">Formularz parametrów wymaganych i ocenianych dla części nr </w:t>
      </w:r>
      <w:r w:rsidR="00DD3762">
        <w:rPr>
          <w:rFonts w:eastAsia="Times New Roman" w:cs="Times New Roman"/>
          <w:b/>
          <w:sz w:val="24"/>
          <w:szCs w:val="24"/>
        </w:rPr>
        <w:t>2</w:t>
      </w:r>
    </w:p>
    <w:p w:rsidR="00B64E17" w:rsidRDefault="00DD3762" w:rsidP="00B64E17">
      <w:pPr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pompy infuzyjne</w:t>
      </w:r>
    </w:p>
    <w:p w:rsidR="00DD3762" w:rsidRDefault="00DD3762" w:rsidP="00B64E17">
      <w:pPr>
        <w:jc w:val="center"/>
        <w:rPr>
          <w:b/>
          <w:sz w:val="24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4332"/>
        <w:gridCol w:w="567"/>
        <w:gridCol w:w="694"/>
        <w:gridCol w:w="567"/>
        <w:gridCol w:w="1353"/>
      </w:tblGrid>
      <w:tr w:rsidR="00DD3762" w:rsidTr="00AE68C0"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b/>
                <w:sz w:val="20"/>
                <w:szCs w:val="20"/>
              </w:rPr>
              <w:t>Pompy infuzyjne 3 szt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 xml:space="preserve">Wartość wymagana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3762">
              <w:rPr>
                <w:rFonts w:ascii="Arial" w:hAnsi="Arial" w:cs="Arial"/>
                <w:bCs/>
                <w:sz w:val="18"/>
                <w:szCs w:val="18"/>
              </w:rPr>
              <w:t>Potwierdzenie spełnienia</w:t>
            </w:r>
          </w:p>
        </w:tc>
      </w:tr>
      <w:tr w:rsidR="00DD3762" w:rsidTr="00AE68C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spacing w:after="0" w:line="240" w:lineRule="auto"/>
              <w:ind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Wykonawca/Producent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Tak, podać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AE68C0" w:rsidP="00AE68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produkcji 2020 </w:t>
            </w:r>
            <w:r w:rsidR="00DD3762" w:rsidRPr="00DD3762">
              <w:rPr>
                <w:sz w:val="20"/>
                <w:szCs w:val="20"/>
              </w:rPr>
              <w:t xml:space="preserve">r.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Tak, podać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Kraj pochodzenia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Tak, podać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Urządzenie fabrycznie nowe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Tak, podać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Nazwa, typ, model urządzenia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Tak, podać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Urządzenie posiada dokumenty dopuszczające do użytkowania, zgodnie z ustawą z dnia 20 maja 2010r. o wyrobach medycznych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E68C0" w:rsidTr="00AE68C0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8C0" w:rsidRPr="00DD3762" w:rsidRDefault="00AE68C0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D3762">
              <w:rPr>
                <w:sz w:val="20"/>
                <w:szCs w:val="20"/>
              </w:rPr>
              <w:t>Parametry techniczne</w:t>
            </w:r>
          </w:p>
        </w:tc>
      </w:tr>
      <w:tr w:rsidR="00DD3762" w:rsidTr="00AE68C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Pompa 2-strzykawkowa z możliwością stosowania strzykawek min. o poj. 20 ml, 50ml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TAK, podać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 xml:space="preserve">Możliwość stosowania strzykawek wymiennie na obu torach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Szybkości dozowania min. od 0,1 do 99,9 ml/h z dokładnością  do 0,1 ml/h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 xml:space="preserve">Możliwość niezależnego programowania szybkości podawania dla każdego toru oddzielnie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Możliwość kontrolowania dawki uderzeniowej na wyświetlaczu przepływu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 xml:space="preserve">Ciśnienie okluzji 930 </w:t>
            </w:r>
            <w:proofErr w:type="spellStart"/>
            <w:r w:rsidRPr="00DD3762">
              <w:rPr>
                <w:sz w:val="20"/>
                <w:szCs w:val="20"/>
              </w:rPr>
              <w:t>hPa</w:t>
            </w:r>
            <w:proofErr w:type="spellEnd"/>
            <w:r w:rsidRPr="00DD3762">
              <w:rPr>
                <w:sz w:val="20"/>
                <w:szCs w:val="20"/>
              </w:rPr>
              <w:t xml:space="preserve"> ([700 </w:t>
            </w:r>
            <w:proofErr w:type="spellStart"/>
            <w:r w:rsidRPr="00DD3762">
              <w:rPr>
                <w:sz w:val="20"/>
                <w:szCs w:val="20"/>
              </w:rPr>
              <w:t>mmHg</w:t>
            </w:r>
            <w:proofErr w:type="spellEnd"/>
            <w:r w:rsidRPr="00DD3762">
              <w:rPr>
                <w:sz w:val="20"/>
                <w:szCs w:val="20"/>
              </w:rPr>
              <w:t>])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 xml:space="preserve">Funkcja KVO i STAND-BY. KVO-prawie pusta strzykawka, </w:t>
            </w:r>
            <w:r w:rsidR="00AE68C0" w:rsidRPr="00DD3762">
              <w:rPr>
                <w:sz w:val="20"/>
                <w:szCs w:val="20"/>
              </w:rPr>
              <w:t>szybkość</w:t>
            </w:r>
            <w:r w:rsidRPr="00DD3762">
              <w:rPr>
                <w:sz w:val="20"/>
                <w:szCs w:val="20"/>
              </w:rPr>
              <w:t xml:space="preserve"> wlewu KVO 0,1 ml/h w czasie 6 minut. STAND-BY – przyciskiem STOP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Alarmy- sygnalizacja dźwiękowa i świetlna: KVO, okluzja, koniec infuzji, rozładowane baterie, brak zasilania z sieci, pusta strzykawka. Alarmy dźwiękowe i świetlne: przekroczenie limitu ciśnienia infuzji, koniec wlewu, aktywna funkcja BOLUS  oraz KVO, przerwa w zasilaniu sieciowym, niski poziom naładowania akumulatora, rozładowane baterie, pusta strzykawka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Zasilanie z siei 230V i awaryjnie z wewnętrznej baterii ładowanej w czasie pracy pompy z zasilania z sieci – przełączanie awaryjne automatyczne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Czas pracy pompy przy zasilaniu z baterii min. 3 godziny, przy wykorzystaniu dwóch torów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 xml:space="preserve">Mocowanie strzykawek. Tory do mocowania strzykawek powinny znajdować się poniżej </w:t>
            </w:r>
            <w:proofErr w:type="spellStart"/>
            <w:r w:rsidRPr="00DD3762">
              <w:rPr>
                <w:sz w:val="20"/>
                <w:szCs w:val="20"/>
              </w:rPr>
              <w:t>panela</w:t>
            </w:r>
            <w:proofErr w:type="spellEnd"/>
            <w:r w:rsidRPr="00DD3762">
              <w:rPr>
                <w:sz w:val="20"/>
                <w:szCs w:val="20"/>
              </w:rPr>
              <w:t xml:space="preserve"> sterującego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Pompa wyposażona w uchwyt do statywu i statyw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rPr>
          <w:trHeight w:val="4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spacing w:after="0" w:line="240" w:lineRule="auto"/>
              <w:ind w:left="356" w:right="355" w:hanging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Wymagania pozostałe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Czas reakcji serwisu od zgłoszenia awarii (podjęcie naprawy) - nie dłuższy</w:t>
            </w:r>
            <w:r>
              <w:rPr>
                <w:sz w:val="20"/>
                <w:szCs w:val="20"/>
              </w:rPr>
              <w:t xml:space="preserve"> niż 48 godzin ( w dni robocze)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TAK, podać</w:t>
            </w:r>
            <w:r w:rsidRPr="00DD3762">
              <w:rPr>
                <w:sz w:val="20"/>
                <w:szCs w:val="20"/>
              </w:rPr>
              <w:tab/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Default="00AE68C0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godz. – 4 pkt</w:t>
            </w:r>
          </w:p>
          <w:p w:rsidR="00AE68C0" w:rsidRPr="00DD3762" w:rsidRDefault="00AE68C0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 godz. – 0 pkt</w:t>
            </w:r>
          </w:p>
        </w:tc>
      </w:tr>
      <w:tr w:rsidR="00DD3762" w:rsidTr="00AE68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Okres gwarancji – co najmniej 24 miesiące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TAK, podać</w:t>
            </w:r>
            <w:r w:rsidRPr="00DD3762">
              <w:rPr>
                <w:sz w:val="20"/>
                <w:szCs w:val="20"/>
              </w:rPr>
              <w:tab/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Default="00AE68C0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 miesięcy - 4 pkt</w:t>
            </w:r>
          </w:p>
          <w:p w:rsidR="00AE68C0" w:rsidRPr="00DD3762" w:rsidRDefault="00AE68C0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miesiące – 0 pkt</w:t>
            </w:r>
            <w:bookmarkStart w:id="0" w:name="_GoBack"/>
            <w:bookmarkEnd w:id="0"/>
          </w:p>
        </w:tc>
      </w:tr>
      <w:tr w:rsidR="00DD3762" w:rsidTr="00AE68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Serwis gwarancyjny i pogwarancyjny zlokalizowany                  w miejscu zapewniającym wymagany przez Zamawiającego czas reakcji serwisu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TAK, podać lokalizację serwisu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Okres zagwarantowania dostępności części zamiennych od daty sprzedaży – co najmniej 10 lat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TAK, podać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Dokumentacja techniczna urządzenia                                       (dostawa ze sprzętem )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Instrukcja obsługi w języku polskim, paszport techniczny (dostawa ze sprzętem)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Deklaracja zgodności, CE oraz wpis do rejestru wyrobów medycznych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D3762" w:rsidTr="00AE68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 w:rsidP="00DD3762">
            <w:pPr>
              <w:jc w:val="both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Montaż i szkolenie pracowników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762" w:rsidRPr="00DD3762" w:rsidRDefault="00DD3762">
            <w:pPr>
              <w:jc w:val="center"/>
              <w:rPr>
                <w:sz w:val="20"/>
                <w:szCs w:val="20"/>
              </w:rPr>
            </w:pPr>
            <w:r w:rsidRPr="00DD3762">
              <w:rPr>
                <w:sz w:val="20"/>
                <w:szCs w:val="20"/>
              </w:rPr>
              <w:t>TAK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762" w:rsidRPr="00DD3762" w:rsidRDefault="00DD3762" w:rsidP="00DD37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D4E6A" w:rsidRDefault="009D4E6A" w:rsidP="00B64E17">
      <w:pPr>
        <w:jc w:val="center"/>
        <w:rPr>
          <w:b/>
          <w:sz w:val="24"/>
          <w:szCs w:val="24"/>
          <w:lang w:eastAsia="pl-PL"/>
        </w:rPr>
      </w:pPr>
    </w:p>
    <w:p w:rsidR="005D708C" w:rsidRDefault="005D708C" w:rsidP="00B64E17">
      <w:pPr>
        <w:jc w:val="center"/>
        <w:rPr>
          <w:b/>
          <w:sz w:val="24"/>
          <w:szCs w:val="24"/>
          <w:lang w:eastAsia="pl-PL"/>
        </w:rPr>
      </w:pPr>
    </w:p>
    <w:p w:rsidR="005D708C" w:rsidRPr="00AB7AC2" w:rsidRDefault="005D708C" w:rsidP="00B64E17">
      <w:pPr>
        <w:jc w:val="center"/>
        <w:rPr>
          <w:rFonts w:eastAsia="SimSun" w:cs="Times New Roman"/>
          <w:b/>
          <w:bCs/>
          <w:sz w:val="24"/>
          <w:szCs w:val="24"/>
        </w:rPr>
      </w:pPr>
    </w:p>
    <w:p w:rsidR="00B64E17" w:rsidRDefault="00B64E17" w:rsidP="00B64E1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31692A" w:rsidRDefault="0031692A"/>
    <w:sectPr w:rsidR="003169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A4" w:rsidRDefault="00B32AA4" w:rsidP="00B64E17">
      <w:pPr>
        <w:spacing w:after="0" w:line="240" w:lineRule="auto"/>
      </w:pPr>
      <w:r>
        <w:separator/>
      </w:r>
    </w:p>
  </w:endnote>
  <w:endnote w:type="continuationSeparator" w:id="0">
    <w:p w:rsidR="00B32AA4" w:rsidRDefault="00B32AA4" w:rsidP="00B6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</w:rPr>
      <w:id w:val="1098054758"/>
      <w:docPartObj>
        <w:docPartGallery w:val="Page Numbers (Bottom of Page)"/>
        <w:docPartUnique/>
      </w:docPartObj>
    </w:sdtPr>
    <w:sdtContent>
      <w:p w:rsidR="00AE68C0" w:rsidRPr="00AE68C0" w:rsidRDefault="00AE68C0">
        <w:pPr>
          <w:pStyle w:val="Stopka"/>
          <w:jc w:val="right"/>
          <w:rPr>
            <w:rFonts w:eastAsiaTheme="majorEastAsia" w:cstheme="majorBidi"/>
          </w:rPr>
        </w:pPr>
        <w:r w:rsidRPr="00AE68C0">
          <w:rPr>
            <w:rFonts w:eastAsiaTheme="majorEastAsia" w:cstheme="majorBidi"/>
          </w:rPr>
          <w:t xml:space="preserve">str. </w:t>
        </w:r>
        <w:r w:rsidRPr="00AE68C0">
          <w:rPr>
            <w:rFonts w:eastAsiaTheme="minorEastAsia"/>
          </w:rPr>
          <w:fldChar w:fldCharType="begin"/>
        </w:r>
        <w:r w:rsidRPr="00AE68C0">
          <w:instrText>PAGE    \* MERGEFORMAT</w:instrText>
        </w:r>
        <w:r w:rsidRPr="00AE68C0">
          <w:rPr>
            <w:rFonts w:eastAsiaTheme="minorEastAsia"/>
          </w:rPr>
          <w:fldChar w:fldCharType="separate"/>
        </w:r>
        <w:r w:rsidRPr="00AE68C0">
          <w:rPr>
            <w:rFonts w:eastAsiaTheme="majorEastAsia" w:cstheme="majorBidi"/>
            <w:noProof/>
          </w:rPr>
          <w:t>3</w:t>
        </w:r>
        <w:r w:rsidRPr="00AE68C0">
          <w:rPr>
            <w:rFonts w:eastAsiaTheme="majorEastAsia" w:cstheme="majorBidi"/>
          </w:rPr>
          <w:fldChar w:fldCharType="end"/>
        </w:r>
      </w:p>
    </w:sdtContent>
  </w:sdt>
  <w:p w:rsidR="00AE68C0" w:rsidRDefault="00AE68C0">
    <w:pPr>
      <w:pStyle w:val="Stopka"/>
    </w:pPr>
    <w:r>
      <w:t>Załącznik nr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A4" w:rsidRDefault="00B32AA4" w:rsidP="00B64E17">
      <w:pPr>
        <w:spacing w:after="0" w:line="240" w:lineRule="auto"/>
      </w:pPr>
      <w:r>
        <w:separator/>
      </w:r>
    </w:p>
  </w:footnote>
  <w:footnote w:type="continuationSeparator" w:id="0">
    <w:p w:rsidR="00B32AA4" w:rsidRDefault="00B32AA4" w:rsidP="00B6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17" w:rsidRDefault="00B64E17">
    <w:pPr>
      <w:pStyle w:val="Nagwek"/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444DEDF" wp14:editId="7126F9D5">
          <wp:extent cx="5760720" cy="556260"/>
          <wp:effectExtent l="0" t="0" r="0" b="0"/>
          <wp:docPr id="1" name="Obraz 1" descr="http://rpo.warmia.mazury.pl/zdjecia/strona/Oznaczenia_2018/EFRR_-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0592"/>
    <w:multiLevelType w:val="hybridMultilevel"/>
    <w:tmpl w:val="5072B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B78A6"/>
    <w:multiLevelType w:val="hybridMultilevel"/>
    <w:tmpl w:val="7E482D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A924F6"/>
    <w:multiLevelType w:val="hybridMultilevel"/>
    <w:tmpl w:val="9BFA6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03B30"/>
    <w:multiLevelType w:val="hybridMultilevel"/>
    <w:tmpl w:val="20DE2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71075"/>
    <w:multiLevelType w:val="hybridMultilevel"/>
    <w:tmpl w:val="F52E94EC"/>
    <w:lvl w:ilvl="0" w:tplc="0415000F">
      <w:start w:val="1"/>
      <w:numFmt w:val="decimal"/>
      <w:lvlText w:val="%1.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>
    <w:nsid w:val="69F643A8"/>
    <w:multiLevelType w:val="multilevel"/>
    <w:tmpl w:val="AAB0A6EE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706E0703"/>
    <w:multiLevelType w:val="hybridMultilevel"/>
    <w:tmpl w:val="65C2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71E71"/>
    <w:multiLevelType w:val="hybridMultilevel"/>
    <w:tmpl w:val="06B471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17"/>
    <w:rsid w:val="0031692A"/>
    <w:rsid w:val="003B33D7"/>
    <w:rsid w:val="005D708C"/>
    <w:rsid w:val="00610932"/>
    <w:rsid w:val="007F250D"/>
    <w:rsid w:val="0098195E"/>
    <w:rsid w:val="0098252B"/>
    <w:rsid w:val="009D4E6A"/>
    <w:rsid w:val="00AB7AC2"/>
    <w:rsid w:val="00AE0058"/>
    <w:rsid w:val="00AE32B7"/>
    <w:rsid w:val="00AE5A41"/>
    <w:rsid w:val="00AE68C0"/>
    <w:rsid w:val="00B32AA4"/>
    <w:rsid w:val="00B64E17"/>
    <w:rsid w:val="00C305E3"/>
    <w:rsid w:val="00DD3762"/>
    <w:rsid w:val="00EA4E8B"/>
    <w:rsid w:val="00F1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D4E6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E17"/>
  </w:style>
  <w:style w:type="paragraph" w:styleId="Stopka">
    <w:name w:val="footer"/>
    <w:basedOn w:val="Normalny"/>
    <w:link w:val="Stopka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E17"/>
  </w:style>
  <w:style w:type="table" w:styleId="Tabela-Siatka">
    <w:name w:val="Table Grid"/>
    <w:basedOn w:val="Standardowy"/>
    <w:uiPriority w:val="59"/>
    <w:rsid w:val="00B64E1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64E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4E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E32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ontStyle15">
    <w:name w:val="Font Style15"/>
    <w:rsid w:val="00AE32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E32B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0">
    <w:name w:val="Style10"/>
    <w:basedOn w:val="Normalny"/>
    <w:rsid w:val="005D70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D4E6A"/>
    <w:rPr>
      <w:rFonts w:ascii="Arial" w:eastAsia="Times New Roman" w:hAnsi="Arial" w:cs="Arial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3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D4E6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E17"/>
  </w:style>
  <w:style w:type="paragraph" w:styleId="Stopka">
    <w:name w:val="footer"/>
    <w:basedOn w:val="Normalny"/>
    <w:link w:val="Stopka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E17"/>
  </w:style>
  <w:style w:type="table" w:styleId="Tabela-Siatka">
    <w:name w:val="Table Grid"/>
    <w:basedOn w:val="Standardowy"/>
    <w:uiPriority w:val="59"/>
    <w:rsid w:val="00B64E1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64E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4E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E32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ontStyle15">
    <w:name w:val="Font Style15"/>
    <w:rsid w:val="00AE32B7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E32B7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0">
    <w:name w:val="Style10"/>
    <w:basedOn w:val="Normalny"/>
    <w:rsid w:val="005D70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D4E6A"/>
    <w:rPr>
      <w:rFonts w:ascii="Arial" w:eastAsia="Times New Roman" w:hAnsi="Arial" w:cs="Arial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3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User_ADM_06</cp:lastModifiedBy>
  <cp:revision>3</cp:revision>
  <cp:lastPrinted>2020-10-27T07:40:00Z</cp:lastPrinted>
  <dcterms:created xsi:type="dcterms:W3CDTF">2020-10-20T09:48:00Z</dcterms:created>
  <dcterms:modified xsi:type="dcterms:W3CDTF">2020-10-27T07:41:00Z</dcterms:modified>
</cp:coreProperties>
</file>