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6F0" w:rsidRDefault="00A63EF8" w:rsidP="00F61493">
      <w:pPr>
        <w:spacing w:line="276" w:lineRule="auto"/>
        <w:jc w:val="center"/>
        <w:rPr>
          <w:rFonts w:eastAsia="Calibri"/>
          <w:b/>
          <w:szCs w:val="22"/>
          <w:lang w:eastAsia="en-US"/>
        </w:rPr>
      </w:pPr>
      <w:r w:rsidRPr="000E3591">
        <w:rPr>
          <w:rFonts w:eastAsia="Calibri"/>
          <w:b/>
          <w:szCs w:val="22"/>
          <w:lang w:eastAsia="en-US"/>
        </w:rPr>
        <w:t>INFORMACJE DO OCENY RYZYKA</w:t>
      </w:r>
    </w:p>
    <w:p w:rsidR="00F61493" w:rsidRPr="00F61493" w:rsidRDefault="00F61493" w:rsidP="00F61493">
      <w:pPr>
        <w:spacing w:line="276" w:lineRule="auto"/>
        <w:jc w:val="center"/>
        <w:rPr>
          <w:rFonts w:eastAsia="Calibri"/>
          <w:szCs w:val="22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6"/>
        <w:gridCol w:w="5880"/>
      </w:tblGrid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Pełna nazwa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Zespół Opieki Zdrowotnej w Lidzbarku Warmińskim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Adres siedziby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ul. Kard. St. Wyszyńskiego 37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7431641641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REGON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000308459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KRS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0000001994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Rodzaj Zamawiającego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Podmiot Leczniczy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Nr Księgi Rejestrowej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000000015121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Data rejestracji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1995-11-10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Data rozpoczęcia działalności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1995-11-10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Organ Założycielski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Samorząd Powiatu Lidzbarskiego</w:t>
            </w:r>
          </w:p>
        </w:tc>
      </w:tr>
    </w:tbl>
    <w:p w:rsidR="008746F0" w:rsidRPr="008746F0" w:rsidRDefault="008746F0" w:rsidP="008746F0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>Miejsca (lokalizacje) w których prowadzona jest działalność:</w:t>
      </w:r>
    </w:p>
    <w:p w:rsidR="00C166C2" w:rsidRPr="00C166C2" w:rsidRDefault="00C166C2" w:rsidP="00C166C2">
      <w:pPr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 xml:space="preserve">ul. Bartoszycka 3, 11-100 Lidzbark Warmiński </w:t>
      </w:r>
    </w:p>
    <w:p w:rsidR="00C166C2" w:rsidRPr="00C166C2" w:rsidRDefault="00C166C2" w:rsidP="00C166C2">
      <w:pPr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 xml:space="preserve">ul. 11-go Listopada 15, 11-100 Lidzbark Warmiński </w:t>
      </w:r>
    </w:p>
    <w:p w:rsidR="00C166C2" w:rsidRPr="00C166C2" w:rsidRDefault="00C166C2" w:rsidP="00C166C2">
      <w:pPr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>ul.</w:t>
      </w:r>
      <w:r w:rsidR="00F61493">
        <w:rPr>
          <w:rFonts w:eastAsia="Calibri"/>
          <w:sz w:val="22"/>
          <w:szCs w:val="22"/>
          <w:lang w:eastAsia="en-US"/>
        </w:rPr>
        <w:t xml:space="preserve"> Akacjowa</w:t>
      </w:r>
      <w:r w:rsidRPr="00C166C2">
        <w:rPr>
          <w:rFonts w:eastAsia="Calibri"/>
          <w:sz w:val="22"/>
          <w:szCs w:val="22"/>
          <w:lang w:eastAsia="en-US"/>
        </w:rPr>
        <w:t xml:space="preserve"> 7, 11-100 Lidzbark Warmiński </w:t>
      </w:r>
    </w:p>
    <w:p w:rsidR="00C166C2" w:rsidRPr="00C166C2" w:rsidRDefault="00C166C2" w:rsidP="00C166C2">
      <w:pPr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 xml:space="preserve">ul. Olsztyńska 8, 11-100 Lidzbark Warmiński </w:t>
      </w:r>
    </w:p>
    <w:p w:rsidR="00C166C2" w:rsidRPr="00C166C2" w:rsidRDefault="00C166C2" w:rsidP="00C166C2">
      <w:pPr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 xml:space="preserve">ul. Mickiewicza 16, 11-130 Orneta </w:t>
      </w:r>
    </w:p>
    <w:p w:rsidR="00C166C2" w:rsidRPr="00C166C2" w:rsidRDefault="00C166C2" w:rsidP="00C166C2">
      <w:pPr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 xml:space="preserve">ul. Wodna 1, 11-130 Orneta </w:t>
      </w:r>
    </w:p>
    <w:p w:rsidR="00C166C2" w:rsidRPr="00C166C2" w:rsidRDefault="00C166C2" w:rsidP="00C166C2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6753"/>
        <w:gridCol w:w="2000"/>
      </w:tblGrid>
      <w:tr w:rsidR="00C166C2" w:rsidRPr="00C166C2" w:rsidTr="00C166C2">
        <w:trPr>
          <w:trHeight w:val="528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 xml:space="preserve">Dane finansowe </w:t>
            </w:r>
          </w:p>
        </w:tc>
      </w:tr>
      <w:tr w:rsidR="00C166C2" w:rsidRPr="00C166C2" w:rsidTr="00C166C2">
        <w:trPr>
          <w:trHeight w:val="342"/>
        </w:trPr>
        <w:tc>
          <w:tcPr>
            <w:tcW w:w="2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Obroty</w:t>
            </w:r>
          </w:p>
        </w:tc>
        <w:tc>
          <w:tcPr>
            <w:tcW w:w="10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 PLN</w:t>
            </w:r>
          </w:p>
        </w:tc>
      </w:tr>
      <w:tr w:rsidR="00C166C2" w:rsidRPr="00C166C2" w:rsidTr="00A93FA4">
        <w:trPr>
          <w:trHeight w:val="503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z działalności medycznej </w:t>
            </w: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finansowanej z NFZ</w:t>
            </w:r>
            <w:r w:rsidR="00F0242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0242D">
              <w:rPr>
                <w:rFonts w:eastAsia="Calibri"/>
                <w:sz w:val="22"/>
                <w:szCs w:val="22"/>
                <w:lang w:eastAsia="en-US"/>
              </w:rPr>
              <w:br/>
              <w:t>za rok 2020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(wartość kontraktu z NFZ) </w:t>
            </w: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sz w:val="22"/>
                <w:szCs w:val="22"/>
                <w:lang w:eastAsia="en-US"/>
              </w:rPr>
              <w:t>24 570 803,94</w:t>
            </w:r>
          </w:p>
        </w:tc>
      </w:tr>
      <w:tr w:rsidR="00C166C2" w:rsidRPr="00C166C2" w:rsidTr="00A93FA4">
        <w:trPr>
          <w:trHeight w:val="503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ze świadczeń medycznych </w:t>
            </w: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nie finansowanych ze środków NFZ</w:t>
            </w:r>
            <w:r w:rsidR="00F0242D">
              <w:rPr>
                <w:rFonts w:eastAsia="Calibri"/>
                <w:sz w:val="22"/>
                <w:szCs w:val="22"/>
                <w:lang w:eastAsia="en-US"/>
              </w:rPr>
              <w:br/>
              <w:t xml:space="preserve"> za rok 2020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, w tym:</w:t>
            </w: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sz w:val="22"/>
                <w:szCs w:val="22"/>
                <w:lang w:eastAsia="en-US"/>
              </w:rPr>
              <w:t>494 211,06</w:t>
            </w:r>
          </w:p>
        </w:tc>
      </w:tr>
      <w:tr w:rsidR="00C166C2" w:rsidRPr="00C166C2" w:rsidTr="00A93FA4">
        <w:trPr>
          <w:trHeight w:val="35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Osoby fizyczne</w:t>
            </w: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i/>
                <w:sz w:val="22"/>
                <w:szCs w:val="22"/>
                <w:lang w:eastAsia="en-US"/>
              </w:rPr>
              <w:t>178 161,26</w:t>
            </w:r>
          </w:p>
        </w:tc>
      </w:tr>
      <w:tr w:rsidR="00C166C2" w:rsidRPr="00C166C2" w:rsidTr="00A93FA4">
        <w:trPr>
          <w:trHeight w:val="35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Inne ZOZ</w:t>
            </w: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i/>
                <w:sz w:val="22"/>
                <w:szCs w:val="22"/>
                <w:lang w:eastAsia="en-US"/>
              </w:rPr>
              <w:t>234 271,20</w:t>
            </w:r>
          </w:p>
        </w:tc>
      </w:tr>
      <w:tr w:rsidR="00C166C2" w:rsidRPr="00C166C2" w:rsidTr="00A93FA4">
        <w:trPr>
          <w:trHeight w:val="35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Inne zakłady</w:t>
            </w: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i/>
                <w:sz w:val="22"/>
                <w:szCs w:val="22"/>
                <w:lang w:eastAsia="en-US"/>
              </w:rPr>
              <w:t>81 778,60</w:t>
            </w:r>
          </w:p>
        </w:tc>
      </w:tr>
      <w:tr w:rsidR="00C166C2" w:rsidRPr="00C166C2" w:rsidTr="00A93FA4">
        <w:trPr>
          <w:trHeight w:val="503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z działalności </w:t>
            </w: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 xml:space="preserve">niemedycznej </w:t>
            </w:r>
            <w:r w:rsidR="00F0242D">
              <w:rPr>
                <w:rFonts w:eastAsia="Calibri"/>
                <w:sz w:val="22"/>
                <w:szCs w:val="22"/>
                <w:lang w:eastAsia="en-US"/>
              </w:rPr>
              <w:t>za rok 2020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, w tym:</w:t>
            </w: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C166C2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b/>
                <w:sz w:val="22"/>
                <w:szCs w:val="22"/>
                <w:lang w:eastAsia="en-US"/>
              </w:rPr>
              <w:t>224 028,92</w:t>
            </w:r>
          </w:p>
        </w:tc>
      </w:tr>
      <w:tr w:rsidR="00C166C2" w:rsidRPr="00C166C2" w:rsidTr="00A93FA4">
        <w:trPr>
          <w:trHeight w:val="369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 xml:space="preserve">Usługi prosektorium i </w:t>
            </w:r>
            <w:proofErr w:type="spellStart"/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sterylizatorni</w:t>
            </w:r>
            <w:proofErr w:type="spellEnd"/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i/>
                <w:sz w:val="22"/>
                <w:szCs w:val="22"/>
                <w:lang w:eastAsia="en-US"/>
              </w:rPr>
              <w:t>10 105,19</w:t>
            </w:r>
          </w:p>
        </w:tc>
      </w:tr>
      <w:tr w:rsidR="00C166C2" w:rsidRPr="00C166C2" w:rsidTr="00A93FA4">
        <w:trPr>
          <w:trHeight w:val="369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Ksero dokumentacji medycznej</w:t>
            </w: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i/>
                <w:sz w:val="22"/>
                <w:szCs w:val="22"/>
                <w:lang w:eastAsia="en-US"/>
              </w:rPr>
              <w:t>713,86</w:t>
            </w:r>
          </w:p>
        </w:tc>
      </w:tr>
      <w:tr w:rsidR="00C166C2" w:rsidRPr="00C166C2" w:rsidTr="00A93FA4">
        <w:trPr>
          <w:trHeight w:val="369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Dzierżawy</w:t>
            </w: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AA2325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i/>
                <w:sz w:val="22"/>
                <w:szCs w:val="22"/>
                <w:lang w:eastAsia="en-US"/>
              </w:rPr>
              <w:t>211 829,87</w:t>
            </w:r>
          </w:p>
        </w:tc>
      </w:tr>
      <w:tr w:rsidR="00C166C2" w:rsidRPr="00C166C2" w:rsidTr="00A93FA4">
        <w:trPr>
          <w:trHeight w:val="369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Pozostałe przychody ze sprzedaży</w:t>
            </w: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i/>
                <w:sz w:val="22"/>
                <w:szCs w:val="22"/>
                <w:lang w:eastAsia="en-US"/>
              </w:rPr>
              <w:t>1 380,00</w:t>
            </w:r>
          </w:p>
        </w:tc>
      </w:tr>
    </w:tbl>
    <w:p w:rsidR="00C166C2" w:rsidRPr="00C166C2" w:rsidRDefault="00C166C2" w:rsidP="00C166C2">
      <w:pPr>
        <w:rPr>
          <w:sz w:val="22"/>
          <w:szCs w:val="22"/>
        </w:rPr>
      </w:pPr>
    </w:p>
    <w:p w:rsidR="00C166C2" w:rsidRPr="00C166C2" w:rsidRDefault="00C166C2" w:rsidP="00C166C2">
      <w:pPr>
        <w:rPr>
          <w:sz w:val="22"/>
          <w:szCs w:val="22"/>
        </w:rPr>
      </w:pPr>
    </w:p>
    <w:p w:rsidR="00C166C2" w:rsidRDefault="00C166C2" w:rsidP="00C166C2">
      <w:pPr>
        <w:rPr>
          <w:sz w:val="22"/>
          <w:szCs w:val="22"/>
        </w:rPr>
      </w:pPr>
    </w:p>
    <w:p w:rsidR="00C166C2" w:rsidRPr="00C166C2" w:rsidRDefault="00C166C2" w:rsidP="00C166C2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6"/>
        <w:gridCol w:w="2000"/>
      </w:tblGrid>
      <w:tr w:rsidR="00C166C2" w:rsidRPr="00C166C2" w:rsidTr="00C166C2">
        <w:trPr>
          <w:trHeight w:val="467"/>
        </w:trPr>
        <w:tc>
          <w:tcPr>
            <w:tcW w:w="392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lastRenderedPageBreak/>
              <w:t>Wartość kontraktu z NFZ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 PLN</w:t>
            </w:r>
          </w:p>
        </w:tc>
      </w:tr>
      <w:tr w:rsidR="00F0242D" w:rsidRPr="00C166C2" w:rsidTr="00F0242D">
        <w:trPr>
          <w:trHeight w:val="451"/>
        </w:trPr>
        <w:tc>
          <w:tcPr>
            <w:tcW w:w="3923" w:type="pct"/>
            <w:shd w:val="clear" w:color="auto" w:fill="auto"/>
            <w:vAlign w:val="center"/>
            <w:hideMark/>
          </w:tcPr>
          <w:p w:rsidR="00F0242D" w:rsidRPr="00C166C2" w:rsidRDefault="00F0242D" w:rsidP="00F0242D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za rok 2020</w:t>
            </w:r>
          </w:p>
        </w:tc>
        <w:tc>
          <w:tcPr>
            <w:tcW w:w="107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0242D" w:rsidRDefault="00F0242D" w:rsidP="00F0242D">
            <w:pPr>
              <w:pStyle w:val="western"/>
            </w:pPr>
            <w:r>
              <w:rPr>
                <w:sz w:val="22"/>
                <w:szCs w:val="22"/>
              </w:rPr>
              <w:t>18 834 958,78</w:t>
            </w:r>
          </w:p>
        </w:tc>
      </w:tr>
      <w:tr w:rsidR="00F0242D" w:rsidRPr="00C166C2" w:rsidTr="00F0242D">
        <w:trPr>
          <w:trHeight w:val="451"/>
        </w:trPr>
        <w:tc>
          <w:tcPr>
            <w:tcW w:w="3923" w:type="pct"/>
            <w:shd w:val="clear" w:color="auto" w:fill="auto"/>
            <w:vAlign w:val="center"/>
            <w:hideMark/>
          </w:tcPr>
          <w:p w:rsidR="00F0242D" w:rsidRPr="00C166C2" w:rsidRDefault="00F0242D" w:rsidP="00F0242D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za rok 2021</w:t>
            </w:r>
          </w:p>
        </w:tc>
        <w:tc>
          <w:tcPr>
            <w:tcW w:w="107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0242D" w:rsidRDefault="00F0242D" w:rsidP="00F0242D">
            <w:pPr>
              <w:pStyle w:val="western"/>
            </w:pPr>
            <w:r>
              <w:rPr>
                <w:sz w:val="22"/>
                <w:szCs w:val="22"/>
              </w:rPr>
              <w:t>9 259 115,03 za 6 miesięcy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4"/>
        <w:gridCol w:w="3105"/>
      </w:tblGrid>
      <w:tr w:rsidR="00C166C2" w:rsidRPr="00C166C2" w:rsidTr="00C166C2">
        <w:trPr>
          <w:trHeight w:val="486"/>
        </w:trPr>
        <w:tc>
          <w:tcPr>
            <w:tcW w:w="5000" w:type="pct"/>
            <w:gridSpan w:val="2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Liczba</w:t>
            </w:r>
            <w:r w:rsidR="00F0242D">
              <w:rPr>
                <w:rFonts w:eastAsia="Calibri"/>
                <w:b/>
                <w:sz w:val="22"/>
                <w:szCs w:val="22"/>
                <w:lang w:eastAsia="en-US"/>
              </w:rPr>
              <w:t xml:space="preserve"> pacjentów przyjętych w roku 2020</w:t>
            </w:r>
          </w:p>
        </w:tc>
      </w:tr>
      <w:tr w:rsidR="00C166C2" w:rsidRPr="00C166C2" w:rsidTr="00A93FA4">
        <w:trPr>
          <w:trHeight w:val="315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Lecznictwo otwarte</w:t>
            </w: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35 659</w:t>
            </w:r>
          </w:p>
        </w:tc>
      </w:tr>
      <w:tr w:rsidR="00C166C2" w:rsidRPr="00C166C2" w:rsidTr="00A93FA4">
        <w:trPr>
          <w:trHeight w:val="315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Lecznictwo zamknięte</w:t>
            </w: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3 268</w:t>
            </w:r>
          </w:p>
        </w:tc>
      </w:tr>
      <w:tr w:rsidR="00C166C2" w:rsidRPr="00C166C2" w:rsidTr="00A93FA4">
        <w:trPr>
          <w:trHeight w:val="315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Łącznie </w:t>
            </w: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38 927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2"/>
        <w:gridCol w:w="3094"/>
      </w:tblGrid>
      <w:tr w:rsidR="00C166C2" w:rsidRPr="00C166C2" w:rsidTr="00C166C2">
        <w:trPr>
          <w:trHeight w:val="526"/>
        </w:trPr>
        <w:tc>
          <w:tcPr>
            <w:tcW w:w="5000" w:type="pct"/>
            <w:gridSpan w:val="2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Liczba lekarzy</w:t>
            </w:r>
          </w:p>
        </w:tc>
      </w:tr>
      <w:tr w:rsidR="00C166C2" w:rsidRPr="00C166C2" w:rsidTr="00A93FA4">
        <w:trPr>
          <w:trHeight w:val="503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Liczba lekarzy ogółem, 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 tym:</w:t>
            </w: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</w:tr>
      <w:tr w:rsidR="00C166C2" w:rsidRPr="00C166C2" w:rsidTr="00A93FA4">
        <w:trPr>
          <w:trHeight w:val="503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Zatrudnionych na umowę o pracę</w:t>
            </w: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C166C2" w:rsidRPr="00C166C2" w:rsidTr="00A93FA4">
        <w:trPr>
          <w:trHeight w:val="503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Zatrudnionych w ramach umów cywilno- prawnych,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 xml:space="preserve"> tzw. kontraktowi   </w:t>
            </w: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65</w:t>
            </w:r>
          </w:p>
        </w:tc>
      </w:tr>
      <w:tr w:rsidR="00C166C2" w:rsidRPr="00C166C2" w:rsidTr="00A93FA4">
        <w:trPr>
          <w:trHeight w:val="503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Zatrudnionych w ramach umowy zlecenia lub umowy o dzieło</w:t>
            </w: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4114"/>
        <w:gridCol w:w="1489"/>
        <w:gridCol w:w="1491"/>
        <w:gridCol w:w="1495"/>
      </w:tblGrid>
      <w:tr w:rsidR="00C166C2" w:rsidRPr="00C166C2" w:rsidTr="00C166C2">
        <w:trPr>
          <w:cantSplit/>
          <w:trHeight w:val="506"/>
          <w:tblHeader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Liczba lekarzy na danym oddziale</w:t>
            </w:r>
          </w:p>
        </w:tc>
      </w:tr>
      <w:tr w:rsidR="00C166C2" w:rsidRPr="00C166C2" w:rsidTr="00C166C2">
        <w:trPr>
          <w:cantSplit/>
          <w:trHeight w:val="506"/>
          <w:tblHeader/>
        </w:trPr>
        <w:tc>
          <w:tcPr>
            <w:tcW w:w="375" w:type="pct"/>
            <w:vMerge w:val="restar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215" w:type="pct"/>
            <w:vMerge w:val="restar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Oddział</w:t>
            </w:r>
          </w:p>
        </w:tc>
        <w:tc>
          <w:tcPr>
            <w:tcW w:w="2410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Liczba lekarzy</w:t>
            </w:r>
          </w:p>
        </w:tc>
      </w:tr>
      <w:tr w:rsidR="00C166C2" w:rsidRPr="00C166C2" w:rsidTr="00C166C2">
        <w:trPr>
          <w:cantSplit/>
          <w:trHeight w:val="506"/>
          <w:tblHeader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 stopień specjalizacji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II stopień specjalizacji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Bez  specjalizacji</w:t>
            </w:r>
          </w:p>
        </w:tc>
      </w:tr>
      <w:tr w:rsidR="00C166C2" w:rsidRPr="00C166C2" w:rsidTr="00A93FA4">
        <w:trPr>
          <w:trHeight w:val="506"/>
        </w:trPr>
        <w:tc>
          <w:tcPr>
            <w:tcW w:w="375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Chorób wewnętrznych</w:t>
            </w:r>
          </w:p>
        </w:tc>
        <w:tc>
          <w:tcPr>
            <w:tcW w:w="802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3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05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C166C2" w:rsidRPr="00C166C2" w:rsidTr="00A93FA4">
        <w:trPr>
          <w:trHeight w:val="506"/>
        </w:trPr>
        <w:tc>
          <w:tcPr>
            <w:tcW w:w="375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Chirurgiczny ogólny</w:t>
            </w:r>
          </w:p>
        </w:tc>
        <w:tc>
          <w:tcPr>
            <w:tcW w:w="802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803" w:type="pct"/>
            <w:shd w:val="clear" w:color="auto" w:fill="FFFFFF" w:themeFill="background1"/>
            <w:vAlign w:val="center"/>
          </w:tcPr>
          <w:p w:rsidR="00C166C2" w:rsidRPr="00C166C2" w:rsidRDefault="00F0242D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05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C166C2" w:rsidRPr="00C166C2" w:rsidTr="00A93FA4">
        <w:trPr>
          <w:trHeight w:val="506"/>
        </w:trPr>
        <w:tc>
          <w:tcPr>
            <w:tcW w:w="375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Chirurgii urazowo-ortopedycznej</w:t>
            </w:r>
          </w:p>
        </w:tc>
        <w:tc>
          <w:tcPr>
            <w:tcW w:w="802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3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5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C166C2" w:rsidRPr="00C166C2" w:rsidTr="00A93FA4">
        <w:trPr>
          <w:trHeight w:val="506"/>
        </w:trPr>
        <w:tc>
          <w:tcPr>
            <w:tcW w:w="375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Ginekologiczny</w:t>
            </w:r>
          </w:p>
        </w:tc>
        <w:tc>
          <w:tcPr>
            <w:tcW w:w="802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3" w:type="pct"/>
            <w:shd w:val="clear" w:color="auto" w:fill="FFFFFF" w:themeFill="background1"/>
            <w:vAlign w:val="center"/>
          </w:tcPr>
          <w:p w:rsidR="00C166C2" w:rsidRPr="00C166C2" w:rsidRDefault="00F0242D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5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C166C2" w:rsidRPr="00C166C2" w:rsidTr="00A93FA4">
        <w:trPr>
          <w:trHeight w:val="506"/>
        </w:trPr>
        <w:tc>
          <w:tcPr>
            <w:tcW w:w="375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Pediatryczny</w:t>
            </w:r>
          </w:p>
        </w:tc>
        <w:tc>
          <w:tcPr>
            <w:tcW w:w="802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03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05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C166C2" w:rsidRPr="00C166C2" w:rsidTr="00A93FA4">
        <w:trPr>
          <w:trHeight w:val="506"/>
        </w:trPr>
        <w:tc>
          <w:tcPr>
            <w:tcW w:w="375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Terapii uzależnienia od alkoholu</w:t>
            </w:r>
          </w:p>
        </w:tc>
        <w:tc>
          <w:tcPr>
            <w:tcW w:w="802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03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5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Default="00C166C2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br w:type="page"/>
      </w: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493"/>
        <w:gridCol w:w="2153"/>
      </w:tblGrid>
      <w:tr w:rsidR="00C166C2" w:rsidRPr="00C166C2" w:rsidTr="00C166C2">
        <w:trPr>
          <w:trHeight w:val="603"/>
          <w:tblHeader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Liczba pozostałego personelu</w:t>
            </w:r>
          </w:p>
        </w:tc>
      </w:tr>
      <w:tr w:rsidR="00C166C2" w:rsidRPr="00C166C2" w:rsidTr="00C166C2">
        <w:trPr>
          <w:trHeight w:val="403"/>
          <w:tblHeader/>
        </w:trPr>
        <w:tc>
          <w:tcPr>
            <w:tcW w:w="3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Nazwa </w:t>
            </w:r>
          </w:p>
        </w:tc>
        <w:tc>
          <w:tcPr>
            <w:tcW w:w="115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Liczba </w:t>
            </w:r>
          </w:p>
        </w:tc>
      </w:tr>
      <w:tr w:rsidR="00C166C2" w:rsidRPr="00C166C2" w:rsidTr="00F0242D">
        <w:trPr>
          <w:trHeight w:val="403"/>
        </w:trPr>
        <w:tc>
          <w:tcPr>
            <w:tcW w:w="362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Pielęgniarki 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C166C2" w:rsidRPr="00C166C2" w:rsidRDefault="00F0242D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65</w:t>
            </w:r>
          </w:p>
        </w:tc>
      </w:tr>
      <w:tr w:rsidR="00C166C2" w:rsidRPr="00C166C2" w:rsidTr="00F0242D">
        <w:trPr>
          <w:trHeight w:val="403"/>
        </w:trPr>
        <w:tc>
          <w:tcPr>
            <w:tcW w:w="362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Położne 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C166C2" w:rsidRPr="00C166C2" w:rsidRDefault="00F0242D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C166C2" w:rsidRPr="00C166C2" w:rsidTr="00F0242D">
        <w:trPr>
          <w:trHeight w:val="403"/>
        </w:trPr>
        <w:tc>
          <w:tcPr>
            <w:tcW w:w="362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Pozostały personel medyczny 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C166C2" w:rsidRPr="00C166C2" w:rsidRDefault="00F0242D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57</w:t>
            </w:r>
          </w:p>
        </w:tc>
      </w:tr>
      <w:tr w:rsidR="00C166C2" w:rsidRPr="00C166C2" w:rsidTr="00F0242D">
        <w:trPr>
          <w:trHeight w:val="403"/>
        </w:trPr>
        <w:tc>
          <w:tcPr>
            <w:tcW w:w="362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Liczba stażystów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C166C2" w:rsidRPr="00C166C2" w:rsidRDefault="00F0242D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C166C2" w:rsidRPr="00C166C2" w:rsidTr="00F0242D">
        <w:trPr>
          <w:trHeight w:val="403"/>
        </w:trPr>
        <w:tc>
          <w:tcPr>
            <w:tcW w:w="362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Liczba wolontariuszy 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C166C2" w:rsidRPr="00C166C2" w:rsidRDefault="00F0242D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C166C2" w:rsidRPr="00C166C2" w:rsidTr="00F0242D">
        <w:trPr>
          <w:trHeight w:val="403"/>
        </w:trPr>
        <w:tc>
          <w:tcPr>
            <w:tcW w:w="362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Pozostali pracownicy  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C166C2" w:rsidRPr="00C166C2" w:rsidRDefault="00F0242D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56</w:t>
            </w:r>
          </w:p>
        </w:tc>
      </w:tr>
      <w:tr w:rsidR="00C166C2" w:rsidRPr="00C166C2" w:rsidTr="00C166C2">
        <w:trPr>
          <w:trHeight w:val="403"/>
        </w:trPr>
        <w:tc>
          <w:tcPr>
            <w:tcW w:w="3845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Łączna liczba pracowników</w:t>
            </w:r>
          </w:p>
        </w:tc>
        <w:tc>
          <w:tcPr>
            <w:tcW w:w="1155" w:type="pct"/>
            <w:shd w:val="clear" w:color="auto" w:fill="auto"/>
            <w:vAlign w:val="center"/>
            <w:hideMark/>
          </w:tcPr>
          <w:p w:rsidR="00C166C2" w:rsidRPr="00C166C2" w:rsidRDefault="00F0242D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185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326"/>
        <w:gridCol w:w="2426"/>
      </w:tblGrid>
      <w:tr w:rsidR="00C166C2" w:rsidRPr="00C166C2" w:rsidTr="00C166C2">
        <w:trPr>
          <w:trHeight w:val="499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Wykaz oddziałów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Nazwa 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Liczba łóżek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Wewnętrzny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Chirurgiczny ogólny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Chirurgii urazowo-ortopedycznej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Ginekologiczny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Pediatryczny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Terapii uzależnienia od alkoholu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8751"/>
      </w:tblGrid>
      <w:tr w:rsidR="00C166C2" w:rsidRPr="00C166C2" w:rsidTr="00C166C2">
        <w:trPr>
          <w:trHeight w:val="431"/>
          <w:tblHeader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Wykaz poradni specjalistycznych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712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Nazwa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chirurgii ogólnej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otolaryngologiczna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neurologiczna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położniczo - ginekologiczna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endokrynologiczna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chorób zakaźnych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okulistyczna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kardiologiczna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chirurgii urazowo-ortopedycznej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medycyny sportowej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terapii uzależnienia od alkoholu i współuzależnienia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Ośrodek Rehabilitacji Dziennej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Podstawowa Opieka Zdrowotna (nocna i świąteczna pomoc medyczna)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urologiczna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8751"/>
      </w:tblGrid>
      <w:tr w:rsidR="00C166C2" w:rsidRPr="00C166C2" w:rsidTr="00C166C2">
        <w:trPr>
          <w:trHeight w:val="414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Wykaz pracowni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Lp. </w:t>
            </w:r>
          </w:p>
        </w:tc>
        <w:tc>
          <w:tcPr>
            <w:tcW w:w="4712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Nazwa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Pracownia USG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Pracownia rentgenodiagnostyki ogólnej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Pracownia endoskopii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Pracownia diagnostyki kardiologicznej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Pracownia diagnostyki laboratoryjnej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Pracownia serologii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Bank krwi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6938"/>
        <w:gridCol w:w="906"/>
        <w:gridCol w:w="906"/>
      </w:tblGrid>
      <w:tr w:rsidR="00C166C2" w:rsidRPr="00C166C2" w:rsidTr="00C166C2">
        <w:trPr>
          <w:cantSplit/>
          <w:trHeight w:val="586"/>
          <w:tblHeader/>
        </w:trPr>
        <w:tc>
          <w:tcPr>
            <w:tcW w:w="4023" w:type="pct"/>
            <w:gridSpan w:val="2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Zakres świadczonych usług</w:t>
            </w:r>
          </w:p>
        </w:tc>
        <w:tc>
          <w:tcPr>
            <w:tcW w:w="488" w:type="pct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489" w:type="pct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Lecznictwo zamknięte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Lecznictwo otwarte 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Pogotowie ratunkowe (tzn. ratownictwo medyczne)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Poradnie specjalistyczne 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Zakład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pielęgnacyjno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– opiekuńczy 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Diagnostyka specjalistyczna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Apteka szpitalna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Podstawowa opieka medyczna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Fizykoterapia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Stacja dializ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Stacja krwiodawstwa 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Transport chorych 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Transport organów ludzkich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Zespoły wyjazdowe  (liczba 3)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Higiena szkolna 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Wyjazdowa opieka lekarska i pielęgniarska 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Nocna i świąteczna opieka ambulatoryjna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Szkoła Rodzenia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837"/>
        <w:gridCol w:w="3102"/>
        <w:gridCol w:w="906"/>
        <w:gridCol w:w="906"/>
      </w:tblGrid>
      <w:tr w:rsidR="00C166C2" w:rsidRPr="00C166C2" w:rsidTr="00C166C2">
        <w:trPr>
          <w:trHeight w:val="498"/>
          <w:tblHeader/>
        </w:trPr>
        <w:tc>
          <w:tcPr>
            <w:tcW w:w="4023" w:type="pct"/>
            <w:gridSpan w:val="3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Czy podmiot leczniczy</w:t>
            </w:r>
          </w:p>
        </w:tc>
        <w:tc>
          <w:tcPr>
            <w:tcW w:w="488" w:type="pct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489" w:type="pct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laboratorium diagnostyczne ?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laboratorium mikrobiologiczne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pracownię histopatologiczną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tomograf komputerowy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F0242D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posiada jądrowy rezonans magnetyczny ? 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tomografię pozytonową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prowadzi eksperymentalne metody leczenia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prowadzi badania kliniczne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wykonuje procedury wysokospecjalistyczne ?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wynajmuje pomieszczenia innym podmiotom gospodarczym ?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prowadzi działalność pomieszczeniach najmowanych od innych podmiotów ?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przygotowuje w aptece szpitalnej leki robione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prowadzi działalność dydaktyczną 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prowadzi działalność w zakresie doskonalenia zawodowego kadr lekarskich, pielęgniarskich itp.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wykonuje zabiegi chirurgii plastycznej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świadczy usługi sterylizacji dla podmiotów zewnętrznych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prowadzi bank krwi pępowinowej i bank komórek macierzystych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komisję bioetyczną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przygotowuje posiłki dla pacjentów (we własnym zakresie)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sprzątanie prowadzi firma zewnętrzna?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płatny parking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pojazdy wolnobieżne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cantSplit/>
          <w:trHeight w:val="697"/>
          <w:tblHeader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Lista podwykonawców, którym Szpital powierza wykonanie czynności oraz zabiegów diagnostycznych i/lub medycznych</w:t>
            </w:r>
          </w:p>
        </w:tc>
      </w:tr>
      <w:tr w:rsidR="00C166C2" w:rsidRPr="00C166C2" w:rsidTr="00C166C2">
        <w:trPr>
          <w:cantSplit/>
          <w:trHeight w:val="410"/>
          <w:tblHeader/>
        </w:trPr>
        <w:tc>
          <w:tcPr>
            <w:tcW w:w="2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Lp. </w:t>
            </w: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Nazwa podwykonawcy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Zakres usług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Samodzielny Publiczny Zakład Opieki Zdrowotnej Ministerstwa Spraw Wewnętrznych Z Warmińsko-Mazurskim Centrum Onkologii w Olsztynie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Diagnostyka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Afidea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Sp. z o.o.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Tomografia komputerowa, rezonans magnetyczny</w:t>
            </w:r>
            <w:r w:rsidRPr="00C166C2">
              <w:rPr>
                <w:sz w:val="22"/>
                <w:szCs w:val="22"/>
              </w:rPr>
              <w:t xml:space="preserve">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PET-CT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Szpital Powiatowy Im. Jana Pawła II W Bartoszycach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Diagnostyka obrazowa, zabezpieczenie OIT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Diagnostyka Sp. z o.o.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Usługa w zakresie diagnostyki laboratoryjnej 9 analityka, mikrobiologia)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Laboratoria Medyczne OPTIMED Kuriata, Wroński Spółka Jawna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Wykonywanie badań laboratoryjnych i mikrobiologicznych</w:t>
            </w:r>
          </w:p>
        </w:tc>
      </w:tr>
      <w:tr w:rsidR="00064269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064269" w:rsidRPr="00C166C2" w:rsidRDefault="00064269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</w:tcPr>
          <w:p w:rsidR="00064269" w:rsidRPr="00C166C2" w:rsidRDefault="00064269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CYTOPATH S.A Łódź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</w:tcPr>
          <w:p w:rsidR="00064269" w:rsidRPr="00C166C2" w:rsidRDefault="00064269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Badania patomorfologiczne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Wojewódzka Stacja Sanitarno-Epidemiologiczna, Laboratorium Badań Epidemiologiczno-Klinicznych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Diagnostyka mikrobiologiczna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Wojewódzki Specjalistyczny Szpital Dziecięcy Im. Prof. Dr Stanisława Popowskiego W Olsztynie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Badania EMG, EEG, diagnostyka medyczna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Laboratorium Hormonalno-Analityczne Teresa Joanna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Gago</w:t>
            </w:r>
            <w:proofErr w:type="spellEnd"/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Badania laboratoryjne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Regionalne Centrum Krwiodawstwa 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 Krwiolecznictwa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Wykonywanie badań laboratoryjnych podstawowych, konsultacyjnych i diagnostycznych z zakresu immunologii transfuzjologicznej i immunopatologii ciąży.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Dostawa krwi i osocza.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Przychodnia Specjalistyczna w Olsztynie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Badania laboratoryjne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Wojewódzki Szpital Specjalistyczny w Olsztynie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Badania diagnostyczne i laboratoryjne (w tym: mammografii, angiografii, histopatologii, medycyny nuklearnej), Scyntygrafia, GDX,  Tomografia komputerowa, rezonans magnetyczny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"GEERS" Akustyka Słuchu Sp. z o.o.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Audiometria tonalna na przewodnictwo powietrzne i kostne</w:t>
            </w:r>
          </w:p>
        </w:tc>
      </w:tr>
      <w:tr w:rsidR="00C166C2" w:rsidRPr="00C166C2" w:rsidTr="00C166C2">
        <w:trPr>
          <w:cantSplit/>
          <w:trHeight w:val="217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Laboratorium PRZYGODA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Badania laboratoryjne</w:t>
            </w:r>
          </w:p>
        </w:tc>
      </w:tr>
      <w:tr w:rsidR="00C166C2" w:rsidRPr="00C166C2" w:rsidTr="00C166C2">
        <w:trPr>
          <w:cantSplit/>
          <w:trHeight w:val="251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Polkard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Sp. z o.o.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Scyntygrafia</w:t>
            </w:r>
          </w:p>
        </w:tc>
      </w:tr>
      <w:tr w:rsidR="00C166C2" w:rsidRPr="00C166C2" w:rsidTr="00C166C2">
        <w:trPr>
          <w:cantSplit/>
          <w:trHeight w:val="170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Poluk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 Sp. z o.o.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USG, BCC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Pracownia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Konsultacyjno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- Terapeutyczna Marta Kopczyńska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Ocena mikroskopowa preparatów cytologicznych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Niepubliczny Zakład Opieki Zdrowotnej Ars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Med</w:t>
            </w:r>
            <w:proofErr w:type="spellEnd"/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Transport sanitarny, specjalistyczny transport medyczny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Samodzielny Publiczny Zespół Gruźlicy I Chorób Płuc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Badania diagnostyczne i laboratoryjne w tym mikrobiologiczne</w:t>
            </w:r>
          </w:p>
        </w:tc>
      </w:tr>
    </w:tbl>
    <w:p w:rsidR="004D4CD2" w:rsidRDefault="004D4CD2">
      <w:pPr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6"/>
      </w:tblGrid>
      <w:tr w:rsidR="00C166C2" w:rsidRPr="00C166C2" w:rsidTr="00C166C2">
        <w:trPr>
          <w:trHeight w:val="41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Certyfikaty i udział w programach jakości</w:t>
            </w:r>
          </w:p>
        </w:tc>
      </w:tr>
      <w:tr w:rsidR="00C166C2" w:rsidRPr="00C166C2" w:rsidTr="00C166C2">
        <w:trPr>
          <w:trHeight w:val="391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color w:val="FF0000"/>
                <w:sz w:val="22"/>
                <w:szCs w:val="22"/>
                <w:lang w:val="en-US" w:eastAsia="en-US"/>
              </w:rPr>
            </w:pPr>
            <w:r w:rsidRPr="00C166C2">
              <w:rPr>
                <w:rFonts w:eastAsia="Calibri"/>
                <w:sz w:val="22"/>
                <w:szCs w:val="22"/>
                <w:lang w:val="en-US" w:eastAsia="en-US"/>
              </w:rPr>
              <w:t>ISO 9001:2015</w:t>
            </w:r>
          </w:p>
        </w:tc>
      </w:tr>
      <w:tr w:rsidR="00C166C2" w:rsidRPr="00C166C2" w:rsidTr="00C166C2">
        <w:trPr>
          <w:trHeight w:val="391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Certyfikat akredytacyjny - nie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97"/>
        <w:gridCol w:w="6276"/>
        <w:gridCol w:w="1095"/>
        <w:gridCol w:w="1091"/>
      </w:tblGrid>
      <w:tr w:rsidR="00C166C2" w:rsidRPr="00C166C2" w:rsidTr="00C166C2">
        <w:trPr>
          <w:trHeight w:val="794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Informacje na temat oceny ryzyka zakażeń szpitalnych w podmiocie leczniczym w zakresie lecznictwa zamkniętego</w:t>
            </w:r>
          </w:p>
        </w:tc>
      </w:tr>
      <w:tr w:rsidR="00C166C2" w:rsidRPr="00C166C2" w:rsidTr="00C166C2">
        <w:trPr>
          <w:trHeight w:val="352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podmiocie leczniczym opracowane są procedury postępowania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mycia i dezynfekcji rąk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podczas dezynfekcji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podczas sterylizacji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 czasie pobierania krwi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przy wykonywaniu iniekcji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ze skażonym mat. Biologicznym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ze sprzętem endoskopowym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 zużytym sprzętem jednorazowym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78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podmiot leczniczy posiada myjnię do endoskopów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354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półautomatyczną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354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automatyczną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54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sterylizator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42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rejestrowane są zakażenia szpitalne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33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5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wszystkie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3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5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wybiórczo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89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Liczba stwierdzanych rocznie zakażeń szpitalnych w podmiocie leczniczym:</w:t>
            </w:r>
          </w:p>
        </w:tc>
      </w:tr>
      <w:tr w:rsidR="00C166C2" w:rsidRPr="00C166C2" w:rsidTr="00C166C2">
        <w:trPr>
          <w:trHeight w:val="304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gronkowca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304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Krwiopochodnych (tzn. WZW B, WZW C, HIV)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304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innych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podmiot leczniczy zgłasza do Sanepidu zakażenia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 xml:space="preserve"> szpitalne/choroby zakaźne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373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krwiopochodne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92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wszystkie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42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Dodatkowe pytania na temat podmiotu leczniczego: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przestrzeganie procedur jest systematycznie kontrolowane?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możliwa jest izolacja pacjentów chorych zakaźnie?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cały personel, który jest narażony na zakażenie WZW jest zaszczepiony przeciwko żółtaczce typu B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 xml:space="preserve">(na podstawie dokumentacji w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Zakł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>. Leczniczym)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503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działa Zespół d/s. Zakażeń Szpitalnych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503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podmiot leczniczy posiada centralną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sterylizatornię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503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używane są sterylizatory narzędzi na suche, gorące powietrze ?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632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prowadzona jest wewnętrzna kontrola procesów sterylizacji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Czy w podmiocie leczniczym używane są puszki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Schimmelbuscha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jako opakowania do sterylizacji ?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do dezynfekcji rąk używany jest środek dezynfekcyjny w dozownikach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Informacje na temat innych opakowań używanych do sterylizacji w podmiocie leczniczym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365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rękawy papierowo – foliowe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65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puszki kontenerowe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365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inne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28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do mycia rąk używane jest mydło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4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 kostkach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25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w dozownikach 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cały personel poddawany jest szkoleniom z zakresu zapobiegania infekcjom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4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systematycznie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szkolenie tylko przy przyjęciu do pracy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do kontroli procesów sterylizacji i pracy sterylizatorów używane są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3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testy paskowe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testy zintegrowane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3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testy biologiczne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wskaźniki fizyczne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wydruk komputerowy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testy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Bowie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>-Dicka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6574"/>
        <w:gridCol w:w="1092"/>
        <w:gridCol w:w="1085"/>
      </w:tblGrid>
      <w:tr w:rsidR="00C166C2" w:rsidRPr="00C166C2" w:rsidTr="00C166C2">
        <w:trPr>
          <w:cantSplit/>
          <w:trHeight w:val="472"/>
          <w:tblHeader/>
        </w:trPr>
        <w:tc>
          <w:tcPr>
            <w:tcW w:w="3827" w:type="pct"/>
            <w:gridSpan w:val="2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Dodatkowe pytania na temat podmiotu leczniczego</w:t>
            </w:r>
          </w:p>
        </w:tc>
        <w:tc>
          <w:tcPr>
            <w:tcW w:w="588" w:type="pct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5" w:type="pct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cantSplit/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sprzęt elektroniczny znajduje się poniżej poziomu gruntu?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pracownie znajdują się w pomieszczeniach poniżej poziomu gruntu?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podmiot leczniczy planuje realizować  w okresie ubezpieczenia nowe inwestycje?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podmiot leczniczy planuje otwarcie nowych lokalizacji w okresie ubezpieczenia? 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cantSplit/>
          <w:trHeight w:val="651"/>
        </w:trPr>
        <w:tc>
          <w:tcPr>
            <w:tcW w:w="288" w:type="pct"/>
            <w:vMerge w:val="restar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przedmiotem ubezpieczenia mienia  są  budynki wyłączone z eksploatacji przez okres dłuższy niż 30 dni ?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F61493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x</w:t>
            </w:r>
            <w:bookmarkStart w:id="0" w:name="_GoBack"/>
            <w:bookmarkEnd w:id="0"/>
          </w:p>
        </w:tc>
      </w:tr>
      <w:tr w:rsidR="00C166C2" w:rsidRPr="00C166C2" w:rsidTr="00C166C2">
        <w:trPr>
          <w:cantSplit/>
          <w:trHeight w:val="77"/>
        </w:trPr>
        <w:tc>
          <w:tcPr>
            <w:tcW w:w="288" w:type="pct"/>
            <w:vMerge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Wykaz pomieszczeń wyłączonych z eksploatacji:</w:t>
            </w:r>
          </w:p>
        </w:tc>
      </w:tr>
      <w:tr w:rsidR="00C166C2" w:rsidRPr="00C166C2" w:rsidTr="00C166C2">
        <w:trPr>
          <w:cantSplit/>
          <w:trHeight w:val="77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mienie będące przedmiotem ubezpieczenia lub pozostające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>w związku z ubezpieczeniem odpowiedzialności cywilnej jest zabezpieczone w sposób przewidziany obowiązującymi przepisami aktów prawnych w zakresie ochrony przeciwpożarowej, w szczególności:</w:t>
            </w:r>
          </w:p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a) ustawą o ochronie przeciwpożarowej 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>(Dz. U. z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2009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r.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Nr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178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poz.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1380 z późn. zm.); 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b) ustawą w sprawie warunków technicznych, jakimi powinny odpowiadać budynki i ich usytuowanie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>(Dz. U. z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2002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r.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Nr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75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poz.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690 z późn. zm.)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)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rozporządzeniem w sprawie ochrony przeciwpożarowej budynków, innych obiektów budowlanych i terenów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 xml:space="preserve"> (Dz. U. z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2010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r.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Nr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109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poz.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719 z późn. zm.) ?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77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Obiekty budowlane są użytkowane i utrzymywane zgodnie z przepisami prawa budowlanego (Dz. U. z 2010 r. Nr 243 poz. 1623) – Tekst jednolity ustawy Prawo Budowlane ?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77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stanowiska pracy spełniają wymagania dotyczące bezpieczeństwa i higieny pracy  w środowisku pracy, w szczególności zapisane w: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a)  ustawie 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w sprawie minimalnych wymagań, dotyczących bezpieczeństwa i higieny pracy,   związanych z możliwością wystąpienia w miejscu pracy atmosfery wybuchowej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>(Dz. U. z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2010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r.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Nr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138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poz.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931) ?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77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obiekty budowlane oraz wykorzystywane instalacje techniczne podlegają regularnym przeglądom okresowym stanu technicznego i/lub dozorowi technicznemu, wykonywanym przez uprawnione podmioty. W protokołach z dokonanych przeglądów nie stwierdzono zastrzeżeń warunkujących ich użytkowanie.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 szczególności przeglądy okresowe dotyczą: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 przydatności do użytkowania obiektu budowlanego, estetyki obiektu budowlanego oraz jego otoczenia;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 sprzętu przeciwpożarowego;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 instalacji elektrycznej i odgromowej;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d) instalacji gazowej;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e) przewodów kominowych (dymowe, spalinowe, wentylacyjne);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f) instalacji gazów medycznych;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g) instalacji wodociągowa przeciwpożarowa;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h) instalacji ciśnieniowych;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i) urządzeń dźwigowych.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br w:type="page"/>
      </w: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113"/>
        <w:gridCol w:w="1534"/>
        <w:gridCol w:w="1534"/>
        <w:gridCol w:w="1533"/>
      </w:tblGrid>
      <w:tr w:rsidR="00C166C2" w:rsidRPr="00C166C2" w:rsidTr="00C166C2">
        <w:trPr>
          <w:cantSplit/>
          <w:trHeight w:val="733"/>
          <w:tblHeader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Opis obiektów, w którym znajduję się ubezpieczone mienie       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1 / adres: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2 / adres: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3 / adres:</w:t>
            </w:r>
          </w:p>
        </w:tc>
      </w:tr>
      <w:tr w:rsidR="00C166C2" w:rsidRPr="00C166C2" w:rsidTr="00C166C2">
        <w:trPr>
          <w:cantSplit/>
          <w:trHeight w:val="349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Adresy lokalizacji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11-100 Lidzbark Warmiński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ul. Bartoszycka 3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11-100 Lidzbark Warmiński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ul. 11 Listopada 15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49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Tytuł prawny do zajmowanej nieruchomości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użytkowanie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użytkowanie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49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Rok budowy budynku 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ok. 1900 r.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ok. 1970 r.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49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Czy obiekt posiada końcowy odbiór techniczny?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Czy w obiekcie dokonywane były remonty lub modernizacje? Jeśli tak proszę wymienić wykonane prace.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Termomodernizacja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Termomodernizacja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3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Kondygnacja ilość / która?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3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Powierzchnia użytkowa budynku /lokalu w </w:t>
            </w:r>
            <w:proofErr w:type="spellStart"/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m</w:t>
            </w:r>
            <w:r w:rsidRPr="00C166C2">
              <w:rPr>
                <w:rFonts w:eastAsia="Calibri"/>
                <w:bCs/>
                <w:sz w:val="22"/>
                <w:szCs w:val="22"/>
                <w:vertAlign w:val="superscript"/>
                <w:lang w:eastAsia="en-US"/>
              </w:rPr>
              <w:t>2</w:t>
            </w:r>
            <w:proofErr w:type="spellEnd"/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3.762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1.520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73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MEDIA:</w:t>
            </w: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Ogrzewanie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Miejskie/gazowe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miejskie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kotłownia</w:t>
            </w:r>
          </w:p>
        </w:tc>
      </w:tr>
      <w:tr w:rsidR="00C166C2" w:rsidRPr="00C166C2" w:rsidTr="00C166C2">
        <w:trPr>
          <w:cantSplit/>
          <w:trHeight w:val="28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Kotłownia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czy jest w oddzielnym budynku?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czy jest instalacja gazowa 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czy są założone czujki gazu?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Zaopatrzenie w wodę 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miejskie/własne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miejskie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Instalacje elektryczne jednofazowe lub trój fazowe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trójfazowa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trójfazowa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e)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Data ostatniej kontroli instalacji elektrycznej i izolacji odgromowej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Listopad 2019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Marzec 2021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73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ŚCIANY ZEWNĘTRZNE:</w:t>
            </w: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konstrukcja stalowa osłonięta blachą i ocieplona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Murowane, cegła pełna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Murowane,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suporeks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>, izolacja styropian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493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elementy drewniane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Konstrukcja dachu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41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murowane (cegła/pustak)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cegła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suporeks</w:t>
            </w:r>
            <w:proofErr w:type="spellEnd"/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49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zabudowane blachą bez ocieplenia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473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STROPY:</w:t>
            </w:r>
          </w:p>
        </w:tc>
      </w:tr>
      <w:tr w:rsidR="00C166C2" w:rsidRPr="00C166C2" w:rsidTr="00C166C2">
        <w:trPr>
          <w:cantSplit/>
          <w:trHeight w:val="506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betonowe/ żelbetowe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betonowe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żelbetowe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6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murowane (cegła/pustak)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pustak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6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stalowe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6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elementy drewniane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73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DACH:</w:t>
            </w:r>
          </w:p>
        </w:tc>
      </w:tr>
      <w:tr w:rsidR="00C166C2" w:rsidRPr="00C166C2" w:rsidTr="00C166C2">
        <w:trPr>
          <w:cantSplit/>
          <w:trHeight w:val="519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Konstrukcja dachu żelbetowa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Konstrukcja dachu drewniana lub z elementami z drewna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Konstrukcja dachu stalowa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Pokrycie dachówką ceramiczną lub cementową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e)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Pokrycie papą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f)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Pokrycie blachą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g)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Izolacja dachu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Wełna mineralna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73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POŁOŻENIE I SĄSIEDZTWO</w:t>
            </w: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czy w </w:t>
            </w:r>
            <w:proofErr w:type="spellStart"/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1997r</w:t>
            </w:r>
            <w:proofErr w:type="spellEnd"/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. i później w wymienionych lokalizacjach wystąpiła powódź lub podtopienia?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Odległość budynków od najbliższej rzeki lub zbiornika wodnego w km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0,3 km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 km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czy istnieje zagrożenie pożarem lub eksplozją ze strony podmiotów gospodarczych zlokalizowanych w sąsiedztwie - jeśli tak prosimy o podanie profilu działalności i rodzaju zagrożenia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br w:type="page"/>
      </w: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167"/>
        <w:gridCol w:w="1630"/>
        <w:gridCol w:w="1486"/>
        <w:gridCol w:w="1486"/>
      </w:tblGrid>
      <w:tr w:rsidR="00C166C2" w:rsidRPr="00C166C2" w:rsidTr="00C166C2">
        <w:trPr>
          <w:cantSplit/>
          <w:trHeight w:val="733"/>
          <w:tblHeader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Zabezpieczenia przeciwpożarowe</w:t>
            </w:r>
          </w:p>
        </w:tc>
        <w:tc>
          <w:tcPr>
            <w:tcW w:w="88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1</w:t>
            </w:r>
          </w:p>
        </w:tc>
        <w:tc>
          <w:tcPr>
            <w:tcW w:w="80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2</w:t>
            </w:r>
          </w:p>
        </w:tc>
        <w:tc>
          <w:tcPr>
            <w:tcW w:w="80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3</w:t>
            </w:r>
          </w:p>
        </w:tc>
      </w:tr>
      <w:tr w:rsidR="00C166C2" w:rsidRPr="00C166C2" w:rsidTr="00C166C2">
        <w:trPr>
          <w:cantSplit/>
          <w:trHeight w:val="699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Hydranty zewnętrzne –podziemne lub nadziemne 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br/>
              <w:t xml:space="preserve">- </w:t>
            </w: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 xml:space="preserve">proszę napisać TAK (i  podać ilość) lub NIE 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3 szt.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Hydranty wewnętrzne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br/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- proszę napisać TAK (i  podać ilość) lub NIE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9 szt.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4 szt.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76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GAŚNICE:</w:t>
            </w: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rodzaj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proszkowe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proszkowe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data ostatniej kontroli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AF0F7A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24.08.2020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AF0F7A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24.08.2020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43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Inne źródła wody: staw, zbiornik przeciwpożarowy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Detektory (czujniki) dymu. 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br/>
              <w:t>Budynki / miejsca, w których są zainstalowane.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Medyczne Laboratorium Diagnostyczne,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Oddział terapii uzależnienia od alkoholu,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strych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Czujniki temperatury.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br/>
              <w:t>Budynki / miejsca, w których są zainstalowane.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Oddział terapii uzależnienia od alkoholu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Instalacja tryskaczowa.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br/>
              <w:t>Budynki / miejsca, w których jest zainstalowana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76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PAŃSTWOWA STRAŻ POŻARNA</w:t>
            </w:r>
          </w:p>
        </w:tc>
      </w:tr>
      <w:tr w:rsidR="00C166C2" w:rsidRPr="00C166C2" w:rsidTr="00C166C2">
        <w:trPr>
          <w:cantSplit/>
          <w:trHeight w:val="360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odległość od najbliższej jednostki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1,5 km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 km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60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szacunkowy czas dojazdu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5 min.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5 min.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76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PALENIE TYTONIU:</w:t>
            </w: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w wymienionych lokalizacjach obowiązuje zakaz palenia tytoniu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</w: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- proszę napisać TAK lub NIE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są wydzielone miejsca do palenia tytoniu </w:t>
            </w: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- proszę napisać TAK lub NIE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167"/>
        <w:gridCol w:w="1534"/>
        <w:gridCol w:w="1534"/>
        <w:gridCol w:w="1534"/>
      </w:tblGrid>
      <w:tr w:rsidR="00C166C2" w:rsidRPr="00C166C2" w:rsidTr="00C166C2">
        <w:trPr>
          <w:cantSplit/>
          <w:trHeight w:val="733"/>
          <w:tblHeader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Zabezpieczenia przeciw kradzieżowe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3</w:t>
            </w:r>
          </w:p>
        </w:tc>
      </w:tr>
      <w:tr w:rsidR="00C166C2" w:rsidRPr="00C166C2" w:rsidTr="00C166C2">
        <w:trPr>
          <w:cantSplit/>
          <w:trHeight w:val="699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Wszystkie drzwi i okna są w należytym stanie technicznym uniemożliwiającym włamanie  i wyważenie bez użycia siły  i narzędzi 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Wszystkie drzwi są zamknięte </w:t>
            </w:r>
            <w:r w:rsidRPr="00C166C2"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>na dwa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zamki wielozastawkowe lub jeden zamek antywłamaniowy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Wszystkie drzwi są zamknięte</w:t>
            </w:r>
            <w:r w:rsidRPr="00C166C2"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 xml:space="preserve"> na jeden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zamek wielozastawkowy lub jeden zamek antywłamaniowy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Drzwi antywłamaniowe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Okna (zaznaczyć parter, piętro, inne) zabezpieczone są (właściwe wskazać): kratami stalowymi, roletami, kratami żaluzjowymi, szybami klasy </w:t>
            </w:r>
            <w:proofErr w:type="spellStart"/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P2</w:t>
            </w:r>
            <w:proofErr w:type="spellEnd"/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P3</w:t>
            </w:r>
            <w:proofErr w:type="spellEnd"/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lub większej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Dozór pośredni lokalu (agencja ochrony po drugiej stronie ulicy)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43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76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STAŁY DOZÓR ubezpieczonej lokalizacji:</w:t>
            </w:r>
          </w:p>
        </w:tc>
      </w:tr>
      <w:tr w:rsidR="00C166C2" w:rsidRPr="00C166C2" w:rsidTr="00C166C2">
        <w:trPr>
          <w:cantSplit/>
          <w:trHeight w:val="459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miejsce dozorowania wewnątrz/ zewnątrz?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wewnątrz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459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całodobowy TAK/ NIE 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76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SYSTEMY ANTYWŁAMANIOWE:</w:t>
            </w: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62" w:type="pct"/>
            <w:shd w:val="clear" w:color="auto" w:fill="auto"/>
            <w:vAlign w:val="bottom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czujki ruchu 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- </w:t>
            </w: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PROSZĘ PODAĆ miejsca objęte detekcją ruchu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43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62" w:type="pct"/>
            <w:shd w:val="clear" w:color="auto" w:fill="auto"/>
            <w:vAlign w:val="bottom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sygnalizacja alarmu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- </w:t>
            </w: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PROSZĘ PODAĆ akustyczna, optyczna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dalsze przekazanie sygnału 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- PROSZĘ PODAĆ do kogo: agencja ochrony, na policję, do osób trzecich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czas dojazdu załogi interwencyjnej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e)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kontrola otwarcia drzwi, okien - styki magnetyczne, czujki rozbicia szkła, inne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57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Ogrodzenie całego terenu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57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Oświetlenie całego terenu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4245"/>
        <w:gridCol w:w="1560"/>
        <w:gridCol w:w="1466"/>
        <w:gridCol w:w="1579"/>
      </w:tblGrid>
      <w:tr w:rsidR="00C166C2" w:rsidRPr="00C166C2" w:rsidTr="00C166C2">
        <w:trPr>
          <w:cantSplit/>
          <w:trHeight w:val="645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8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SPOSÓB PRZECHOWYWANIA WARTOŚCI PIENIĘŻNYCH</w:t>
            </w:r>
          </w:p>
        </w:tc>
      </w:tr>
      <w:tr w:rsidR="00C166C2" w:rsidRPr="00C166C2" w:rsidTr="00C166C2">
        <w:trPr>
          <w:cantSplit/>
          <w:trHeight w:val="5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Kasa pancerna przytwierdzona do podłoża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b) </w:t>
            </w:r>
          </w:p>
        </w:tc>
        <w:tc>
          <w:tcPr>
            <w:tcW w:w="2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Kasa pancerna nieprzytwierdzona do podłoża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sejf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2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Inny (podać jaki)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sectPr w:rsidR="00C166C2" w:rsidRPr="00C166C2" w:rsidSect="00F775FF"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325" w:rsidRDefault="00AA2325">
      <w:r>
        <w:separator/>
      </w:r>
    </w:p>
  </w:endnote>
  <w:endnote w:type="continuationSeparator" w:id="0">
    <w:p w:rsidR="00AA2325" w:rsidRDefault="00AA2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325" w:rsidRDefault="00AA2325">
    <w:pPr>
      <w:pStyle w:val="Stopka"/>
    </w:pP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 wp14:anchorId="53961678" wp14:editId="3FE8CE6A">
          <wp:extent cx="5752465" cy="690880"/>
          <wp:effectExtent l="0" t="0" r="635" b="0"/>
          <wp:docPr id="2" name="Obraz 2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 wp14:anchorId="614383A9" wp14:editId="761ECB59">
          <wp:extent cx="5752465" cy="690880"/>
          <wp:effectExtent l="0" t="0" r="635" b="0"/>
          <wp:docPr id="3" name="Obraz 3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A2325" w:rsidRDefault="00AA2325"/>
  <w:p w:rsidR="00AA2325" w:rsidRDefault="00AA2325"/>
  <w:p w:rsidR="00AA2325" w:rsidRDefault="00AA232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325" w:rsidRPr="00AF10C3" w:rsidRDefault="00F61493" w:rsidP="00AF10C3">
    <w:pPr>
      <w:tabs>
        <w:tab w:val="center" w:pos="4536"/>
        <w:tab w:val="right" w:pos="9072"/>
      </w:tabs>
      <w:spacing w:after="120"/>
      <w:jc w:val="center"/>
      <w:rPr>
        <w:rFonts w:eastAsia="Calibri"/>
        <w:b/>
        <w:color w:val="B9A829"/>
        <w:sz w:val="16"/>
        <w:szCs w:val="16"/>
        <w:shd w:val="clear" w:color="auto" w:fill="B9A829"/>
        <w:lang w:eastAsia="en-US"/>
      </w:rPr>
    </w:pPr>
    <w:r>
      <w:rPr>
        <w:rFonts w:ascii="Verdana" w:eastAsia="Calibri" w:hAnsi="Verdana"/>
        <w:b/>
        <w:color w:val="B9A829"/>
        <w:sz w:val="2"/>
        <w:szCs w:val="22"/>
        <w:lang w:eastAsia="en-US"/>
      </w:rPr>
      <w:pict>
        <v:rect id="_x0000_i1025" style="width:453.6pt;height:1pt" o:hralign="center" o:hrstd="t" o:hrnoshade="t" o:hr="t" fillcolor="black" stroked="f"/>
      </w:pict>
    </w:r>
  </w:p>
  <w:p w:rsidR="00AA2325" w:rsidRPr="002D2B2C" w:rsidRDefault="00AA2325" w:rsidP="002D2B2C">
    <w:pPr>
      <w:tabs>
        <w:tab w:val="left" w:pos="218"/>
        <w:tab w:val="center" w:pos="4535"/>
        <w:tab w:val="right" w:pos="9072"/>
      </w:tabs>
      <w:spacing w:after="240"/>
      <w:rPr>
        <w:rFonts w:eastAsia="Calibri"/>
        <w:sz w:val="20"/>
        <w:szCs w:val="20"/>
        <w:lang w:eastAsia="en-US"/>
      </w:rPr>
    </w:pPr>
    <w:r>
      <w:rPr>
        <w:rFonts w:eastAsia="Calibri"/>
        <w:sz w:val="20"/>
        <w:szCs w:val="20"/>
        <w:lang w:eastAsia="en-US"/>
      </w:rPr>
      <w:tab/>
    </w:r>
    <w:r w:rsidRPr="00B358DE">
      <w:rPr>
        <w:rFonts w:eastAsia="Calibri"/>
        <w:sz w:val="20"/>
        <w:szCs w:val="20"/>
        <w:lang w:eastAsia="en-US"/>
      </w:rPr>
      <w:t>ZOZ.V-2</w:t>
    </w:r>
    <w:r w:rsidR="00B358DE" w:rsidRPr="00B358DE">
      <w:rPr>
        <w:rFonts w:eastAsia="Calibri"/>
        <w:sz w:val="20"/>
        <w:szCs w:val="20"/>
        <w:lang w:eastAsia="en-US"/>
      </w:rPr>
      <w:t>60-</w:t>
    </w:r>
    <w:r w:rsidR="009772E0">
      <w:rPr>
        <w:rFonts w:eastAsia="Calibri"/>
        <w:sz w:val="20"/>
        <w:szCs w:val="20"/>
        <w:lang w:eastAsia="en-US"/>
      </w:rPr>
      <w:t>21</w:t>
    </w:r>
    <w:r w:rsidRPr="00B358DE">
      <w:rPr>
        <w:rFonts w:eastAsia="Calibri"/>
        <w:sz w:val="20"/>
        <w:szCs w:val="20"/>
        <w:lang w:eastAsia="en-US"/>
      </w:rPr>
      <w:t>/ZP/</w:t>
    </w:r>
    <w:r w:rsidR="00B358DE" w:rsidRPr="00B358DE">
      <w:rPr>
        <w:rFonts w:eastAsia="Calibri"/>
        <w:sz w:val="20"/>
        <w:szCs w:val="20"/>
        <w:lang w:eastAsia="en-US"/>
      </w:rPr>
      <w:t>21</w:t>
    </w:r>
    <w:r>
      <w:rPr>
        <w:rFonts w:eastAsia="Calibri"/>
        <w:sz w:val="20"/>
        <w:szCs w:val="20"/>
        <w:lang w:eastAsia="en-US"/>
      </w:rPr>
      <w:tab/>
    </w:r>
    <w:r w:rsidRPr="00A63EF8">
      <w:rPr>
        <w:rFonts w:eastAsia="Calibri"/>
        <w:sz w:val="20"/>
        <w:szCs w:val="20"/>
        <w:lang w:eastAsia="en-US"/>
      </w:rPr>
      <w:t xml:space="preserve">Strona </w:t>
    </w:r>
    <w:r w:rsidRPr="00A63EF8">
      <w:rPr>
        <w:rFonts w:eastAsia="Calibri"/>
        <w:sz w:val="20"/>
        <w:szCs w:val="20"/>
        <w:lang w:eastAsia="en-US"/>
      </w:rPr>
      <w:fldChar w:fldCharType="begin"/>
    </w:r>
    <w:r w:rsidRPr="00A63EF8">
      <w:rPr>
        <w:rFonts w:eastAsia="Calibri"/>
        <w:sz w:val="20"/>
        <w:szCs w:val="20"/>
        <w:lang w:eastAsia="en-US"/>
      </w:rPr>
      <w:instrText>PAGE</w:instrText>
    </w:r>
    <w:r w:rsidRPr="00A63EF8">
      <w:rPr>
        <w:rFonts w:eastAsia="Calibri"/>
        <w:sz w:val="20"/>
        <w:szCs w:val="20"/>
        <w:lang w:eastAsia="en-US"/>
      </w:rPr>
      <w:fldChar w:fldCharType="separate"/>
    </w:r>
    <w:r w:rsidR="00F61493">
      <w:rPr>
        <w:rFonts w:eastAsia="Calibri"/>
        <w:noProof/>
        <w:sz w:val="20"/>
        <w:szCs w:val="20"/>
        <w:lang w:eastAsia="en-US"/>
      </w:rPr>
      <w:t>1</w:t>
    </w:r>
    <w:r w:rsidRPr="00A63EF8">
      <w:rPr>
        <w:rFonts w:eastAsia="Calibri"/>
        <w:sz w:val="20"/>
        <w:szCs w:val="20"/>
        <w:lang w:eastAsia="en-US"/>
      </w:rPr>
      <w:fldChar w:fldCharType="end"/>
    </w:r>
    <w:r w:rsidRPr="00A63EF8">
      <w:rPr>
        <w:rFonts w:eastAsia="Calibri"/>
        <w:sz w:val="20"/>
        <w:szCs w:val="20"/>
        <w:lang w:eastAsia="en-US"/>
      </w:rPr>
      <w:t xml:space="preserve"> z </w:t>
    </w:r>
    <w:r w:rsidRPr="00A63EF8">
      <w:rPr>
        <w:rFonts w:eastAsia="Calibri"/>
        <w:sz w:val="20"/>
        <w:szCs w:val="20"/>
        <w:lang w:eastAsia="en-US"/>
      </w:rPr>
      <w:fldChar w:fldCharType="begin"/>
    </w:r>
    <w:r w:rsidRPr="00A63EF8">
      <w:rPr>
        <w:rFonts w:eastAsia="Calibri"/>
        <w:sz w:val="20"/>
        <w:szCs w:val="20"/>
        <w:lang w:eastAsia="en-US"/>
      </w:rPr>
      <w:instrText>NUMPAGES</w:instrText>
    </w:r>
    <w:r w:rsidRPr="00A63EF8">
      <w:rPr>
        <w:rFonts w:eastAsia="Calibri"/>
        <w:sz w:val="20"/>
        <w:szCs w:val="20"/>
        <w:lang w:eastAsia="en-US"/>
      </w:rPr>
      <w:fldChar w:fldCharType="separate"/>
    </w:r>
    <w:r w:rsidR="00F61493">
      <w:rPr>
        <w:rFonts w:eastAsia="Calibri"/>
        <w:noProof/>
        <w:sz w:val="20"/>
        <w:szCs w:val="20"/>
        <w:lang w:eastAsia="en-US"/>
      </w:rPr>
      <w:t>13</w:t>
    </w:r>
    <w:r w:rsidRPr="00A63EF8">
      <w:rPr>
        <w:rFonts w:eastAsia="Calibri"/>
        <w:sz w:val="20"/>
        <w:szCs w:val="20"/>
        <w:lang w:eastAsia="en-US"/>
      </w:rPr>
      <w:fldChar w:fldCharType="end"/>
    </w:r>
    <w:r>
      <w:rPr>
        <w:rFonts w:eastAsia="Calibri"/>
        <w:sz w:val="20"/>
        <w:szCs w:val="20"/>
        <w:lang w:eastAsia="en-US"/>
      </w:rPr>
      <w:t xml:space="preserve">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325" w:rsidRDefault="00AA2325">
      <w:r>
        <w:separator/>
      </w:r>
    </w:p>
  </w:footnote>
  <w:footnote w:type="continuationSeparator" w:id="0">
    <w:p w:rsidR="00AA2325" w:rsidRDefault="00AA2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325" w:rsidRDefault="00AA2325" w:rsidP="00657679">
    <w:pPr>
      <w:pStyle w:val="Nagwek"/>
      <w:tabs>
        <w:tab w:val="clear" w:pos="4536"/>
        <w:tab w:val="center" w:pos="2835"/>
        <w:tab w:val="left" w:pos="3544"/>
      </w:tabs>
      <w:ind w:right="-576"/>
      <w:rPr>
        <w:sz w:val="16"/>
        <w:szCs w:val="16"/>
      </w:rPr>
    </w:pPr>
  </w:p>
  <w:p w:rsidR="00F61493" w:rsidRPr="00F61493" w:rsidRDefault="00AA2325" w:rsidP="00F61493">
    <w:pPr>
      <w:tabs>
        <w:tab w:val="center" w:pos="4536"/>
        <w:tab w:val="right" w:pos="9072"/>
      </w:tabs>
      <w:spacing w:after="120"/>
      <w:jc w:val="right"/>
      <w:rPr>
        <w:rFonts w:eastAsia="Calibri"/>
        <w:sz w:val="20"/>
        <w:szCs w:val="20"/>
        <w:lang w:eastAsia="en-US"/>
      </w:rPr>
    </w:pPr>
    <w:r w:rsidRPr="00A63EF8">
      <w:rPr>
        <w:rFonts w:eastAsia="Calibri"/>
        <w:sz w:val="20"/>
        <w:szCs w:val="20"/>
        <w:lang w:eastAsia="en-US"/>
      </w:rPr>
      <w:t xml:space="preserve">Załącznik nr </w:t>
    </w:r>
    <w:r w:rsidR="00B358DE">
      <w:rPr>
        <w:rFonts w:eastAsia="Calibri"/>
        <w:sz w:val="20"/>
        <w:szCs w:val="20"/>
        <w:lang w:eastAsia="en-US"/>
      </w:rPr>
      <w:t>3</w:t>
    </w:r>
    <w:r>
      <w:rPr>
        <w:rFonts w:eastAsia="Calibri"/>
        <w:sz w:val="20"/>
        <w:szCs w:val="20"/>
        <w:lang w:eastAsia="en-US"/>
      </w:rPr>
      <w:t xml:space="preserve"> do SWZ</w:t>
    </w:r>
    <w:r w:rsidR="00F61493">
      <w:rPr>
        <w:rFonts w:eastAsia="Calibri"/>
        <w:sz w:val="20"/>
        <w:szCs w:val="20"/>
        <w:lang w:eastAsia="en-US"/>
      </w:rPr>
      <w:t>,</w:t>
    </w:r>
    <w:r>
      <w:rPr>
        <w:rFonts w:eastAsia="Calibri"/>
        <w:sz w:val="20"/>
        <w:szCs w:val="20"/>
        <w:lang w:eastAsia="en-US"/>
      </w:rPr>
      <w:t xml:space="preserve"> </w:t>
    </w:r>
    <w:r w:rsidR="00F61493">
      <w:rPr>
        <w:rFonts w:eastAsia="Calibri"/>
        <w:sz w:val="20"/>
        <w:szCs w:val="20"/>
        <w:lang w:eastAsia="en-US"/>
      </w:rPr>
      <w:t>po zm. z dn. 13.04.2021</w:t>
    </w:r>
  </w:p>
  <w:p w:rsidR="00AA2325" w:rsidRDefault="00AA23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45DC"/>
    <w:multiLevelType w:val="hybridMultilevel"/>
    <w:tmpl w:val="AB8E04FE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E0A36"/>
    <w:multiLevelType w:val="hybridMultilevel"/>
    <w:tmpl w:val="87C2B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C04F1"/>
    <w:multiLevelType w:val="hybridMultilevel"/>
    <w:tmpl w:val="EC3A0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F6CDB"/>
    <w:multiLevelType w:val="hybridMultilevel"/>
    <w:tmpl w:val="626EA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7671B"/>
    <w:multiLevelType w:val="hybridMultilevel"/>
    <w:tmpl w:val="AB8E04FE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C614B"/>
    <w:multiLevelType w:val="hybridMultilevel"/>
    <w:tmpl w:val="AB58DB1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0361E5"/>
    <w:multiLevelType w:val="hybridMultilevel"/>
    <w:tmpl w:val="92B6C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826E2"/>
    <w:multiLevelType w:val="hybridMultilevel"/>
    <w:tmpl w:val="626EA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241D8"/>
    <w:multiLevelType w:val="hybridMultilevel"/>
    <w:tmpl w:val="AB8E0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169D1"/>
    <w:multiLevelType w:val="hybridMultilevel"/>
    <w:tmpl w:val="AB8E04FE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851C49"/>
    <w:multiLevelType w:val="hybridMultilevel"/>
    <w:tmpl w:val="8B525F7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2F95007"/>
    <w:multiLevelType w:val="hybridMultilevel"/>
    <w:tmpl w:val="FC469160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D75E0"/>
    <w:multiLevelType w:val="hybridMultilevel"/>
    <w:tmpl w:val="626EA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74133"/>
    <w:multiLevelType w:val="hybridMultilevel"/>
    <w:tmpl w:val="EC3A0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AE57A9"/>
    <w:multiLevelType w:val="hybridMultilevel"/>
    <w:tmpl w:val="626EA9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267EF5"/>
    <w:multiLevelType w:val="hybridMultilevel"/>
    <w:tmpl w:val="87C2B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6D3350"/>
    <w:multiLevelType w:val="hybridMultilevel"/>
    <w:tmpl w:val="AB8E04FE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E4131"/>
    <w:multiLevelType w:val="hybridMultilevel"/>
    <w:tmpl w:val="C53AF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990867"/>
    <w:multiLevelType w:val="hybridMultilevel"/>
    <w:tmpl w:val="2654D8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5E646D2"/>
    <w:multiLevelType w:val="hybridMultilevel"/>
    <w:tmpl w:val="AB8E04FE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BA5D31"/>
    <w:multiLevelType w:val="hybridMultilevel"/>
    <w:tmpl w:val="626EA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4E0906"/>
    <w:multiLevelType w:val="hybridMultilevel"/>
    <w:tmpl w:val="87C2B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174E29"/>
    <w:multiLevelType w:val="hybridMultilevel"/>
    <w:tmpl w:val="87C2B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27A83"/>
    <w:multiLevelType w:val="hybridMultilevel"/>
    <w:tmpl w:val="6DF6E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64"/>
    <w:rsid w:val="00001B37"/>
    <w:rsid w:val="00005DF5"/>
    <w:rsid w:val="0002664C"/>
    <w:rsid w:val="0003598C"/>
    <w:rsid w:val="000361B9"/>
    <w:rsid w:val="00040890"/>
    <w:rsid w:val="000505C0"/>
    <w:rsid w:val="00064269"/>
    <w:rsid w:val="00072402"/>
    <w:rsid w:val="00075439"/>
    <w:rsid w:val="000778DC"/>
    <w:rsid w:val="00083195"/>
    <w:rsid w:val="0008790E"/>
    <w:rsid w:val="00093B42"/>
    <w:rsid w:val="000D301E"/>
    <w:rsid w:val="000D67FD"/>
    <w:rsid w:val="000D6A05"/>
    <w:rsid w:val="000E3591"/>
    <w:rsid w:val="000F63A4"/>
    <w:rsid w:val="000F6603"/>
    <w:rsid w:val="00122238"/>
    <w:rsid w:val="00122CDB"/>
    <w:rsid w:val="0013303E"/>
    <w:rsid w:val="00164EE8"/>
    <w:rsid w:val="00167851"/>
    <w:rsid w:val="00181B62"/>
    <w:rsid w:val="001A250E"/>
    <w:rsid w:val="001A35F1"/>
    <w:rsid w:val="001A6A51"/>
    <w:rsid w:val="001D4E32"/>
    <w:rsid w:val="00217826"/>
    <w:rsid w:val="00220A02"/>
    <w:rsid w:val="0022628F"/>
    <w:rsid w:val="00236F8F"/>
    <w:rsid w:val="00246C1F"/>
    <w:rsid w:val="002620C6"/>
    <w:rsid w:val="00264171"/>
    <w:rsid w:val="00266A10"/>
    <w:rsid w:val="00292421"/>
    <w:rsid w:val="00297DF0"/>
    <w:rsid w:val="002A7664"/>
    <w:rsid w:val="002C3BA7"/>
    <w:rsid w:val="002C695F"/>
    <w:rsid w:val="002D2B2C"/>
    <w:rsid w:val="002E0EB3"/>
    <w:rsid w:val="002E1EB8"/>
    <w:rsid w:val="002E534E"/>
    <w:rsid w:val="002E5853"/>
    <w:rsid w:val="003066E8"/>
    <w:rsid w:val="0033728A"/>
    <w:rsid w:val="00354BA9"/>
    <w:rsid w:val="003639CE"/>
    <w:rsid w:val="0036720D"/>
    <w:rsid w:val="003A23F5"/>
    <w:rsid w:val="003B34E5"/>
    <w:rsid w:val="003C0231"/>
    <w:rsid w:val="003C1CDE"/>
    <w:rsid w:val="003C276E"/>
    <w:rsid w:val="003C5EE6"/>
    <w:rsid w:val="003D0C86"/>
    <w:rsid w:val="003D7B7E"/>
    <w:rsid w:val="003F6A2D"/>
    <w:rsid w:val="00400964"/>
    <w:rsid w:val="00423979"/>
    <w:rsid w:val="00427342"/>
    <w:rsid w:val="00435B5C"/>
    <w:rsid w:val="0043666B"/>
    <w:rsid w:val="00437526"/>
    <w:rsid w:val="00442A73"/>
    <w:rsid w:val="00456479"/>
    <w:rsid w:val="00472A9E"/>
    <w:rsid w:val="00483349"/>
    <w:rsid w:val="00497046"/>
    <w:rsid w:val="004A2B78"/>
    <w:rsid w:val="004B2232"/>
    <w:rsid w:val="004C36BE"/>
    <w:rsid w:val="004D4CD2"/>
    <w:rsid w:val="004D7FF2"/>
    <w:rsid w:val="004E3C52"/>
    <w:rsid w:val="004E4082"/>
    <w:rsid w:val="00507696"/>
    <w:rsid w:val="00512967"/>
    <w:rsid w:val="00537F9D"/>
    <w:rsid w:val="005551BE"/>
    <w:rsid w:val="005553FA"/>
    <w:rsid w:val="00573CC7"/>
    <w:rsid w:val="00576C76"/>
    <w:rsid w:val="005C39F5"/>
    <w:rsid w:val="005C4E0B"/>
    <w:rsid w:val="005C6FA8"/>
    <w:rsid w:val="005F1347"/>
    <w:rsid w:val="00624A67"/>
    <w:rsid w:val="00630614"/>
    <w:rsid w:val="00640000"/>
    <w:rsid w:val="00644CCA"/>
    <w:rsid w:val="00657679"/>
    <w:rsid w:val="00686726"/>
    <w:rsid w:val="00687B2A"/>
    <w:rsid w:val="00691280"/>
    <w:rsid w:val="006B104D"/>
    <w:rsid w:val="006B1AAD"/>
    <w:rsid w:val="006C0415"/>
    <w:rsid w:val="006C2234"/>
    <w:rsid w:val="006D7AD2"/>
    <w:rsid w:val="006E277D"/>
    <w:rsid w:val="006E520D"/>
    <w:rsid w:val="00706392"/>
    <w:rsid w:val="00711B1C"/>
    <w:rsid w:val="007172B1"/>
    <w:rsid w:val="00737B3A"/>
    <w:rsid w:val="007464C0"/>
    <w:rsid w:val="00755BDC"/>
    <w:rsid w:val="007642F3"/>
    <w:rsid w:val="00767C05"/>
    <w:rsid w:val="007B5555"/>
    <w:rsid w:val="007C0C8B"/>
    <w:rsid w:val="007D0435"/>
    <w:rsid w:val="00804567"/>
    <w:rsid w:val="008134C9"/>
    <w:rsid w:val="00814759"/>
    <w:rsid w:val="0084002F"/>
    <w:rsid w:val="00841E07"/>
    <w:rsid w:val="00854173"/>
    <w:rsid w:val="008738DD"/>
    <w:rsid w:val="008746F0"/>
    <w:rsid w:val="0089062E"/>
    <w:rsid w:val="008909CF"/>
    <w:rsid w:val="00892A72"/>
    <w:rsid w:val="008B65B8"/>
    <w:rsid w:val="008C37B2"/>
    <w:rsid w:val="008D0F43"/>
    <w:rsid w:val="008E0327"/>
    <w:rsid w:val="008F198C"/>
    <w:rsid w:val="009040C8"/>
    <w:rsid w:val="00914F2E"/>
    <w:rsid w:val="00920501"/>
    <w:rsid w:val="00924D2F"/>
    <w:rsid w:val="00945770"/>
    <w:rsid w:val="00974B96"/>
    <w:rsid w:val="009772E0"/>
    <w:rsid w:val="00986F61"/>
    <w:rsid w:val="00987D42"/>
    <w:rsid w:val="009C2C86"/>
    <w:rsid w:val="009D2ADE"/>
    <w:rsid w:val="009F14DA"/>
    <w:rsid w:val="009F5865"/>
    <w:rsid w:val="00A044AB"/>
    <w:rsid w:val="00A0471F"/>
    <w:rsid w:val="00A11A5F"/>
    <w:rsid w:val="00A2239E"/>
    <w:rsid w:val="00A234EC"/>
    <w:rsid w:val="00A24F2B"/>
    <w:rsid w:val="00A36DEC"/>
    <w:rsid w:val="00A4120D"/>
    <w:rsid w:val="00A55BE0"/>
    <w:rsid w:val="00A5727A"/>
    <w:rsid w:val="00A63EF8"/>
    <w:rsid w:val="00A91313"/>
    <w:rsid w:val="00A91CD9"/>
    <w:rsid w:val="00A93FA4"/>
    <w:rsid w:val="00AA2325"/>
    <w:rsid w:val="00AA69CC"/>
    <w:rsid w:val="00AA7F1B"/>
    <w:rsid w:val="00AB09E1"/>
    <w:rsid w:val="00AB689E"/>
    <w:rsid w:val="00AC11D9"/>
    <w:rsid w:val="00AE4A8E"/>
    <w:rsid w:val="00AF0F7A"/>
    <w:rsid w:val="00AF10C3"/>
    <w:rsid w:val="00B06A82"/>
    <w:rsid w:val="00B16561"/>
    <w:rsid w:val="00B16726"/>
    <w:rsid w:val="00B2348C"/>
    <w:rsid w:val="00B33290"/>
    <w:rsid w:val="00B358DE"/>
    <w:rsid w:val="00B36A15"/>
    <w:rsid w:val="00B63C05"/>
    <w:rsid w:val="00B64052"/>
    <w:rsid w:val="00B766E8"/>
    <w:rsid w:val="00B956A2"/>
    <w:rsid w:val="00B962C4"/>
    <w:rsid w:val="00BB5E68"/>
    <w:rsid w:val="00BB7284"/>
    <w:rsid w:val="00BC22F6"/>
    <w:rsid w:val="00BC7528"/>
    <w:rsid w:val="00BE6DA3"/>
    <w:rsid w:val="00C166C2"/>
    <w:rsid w:val="00C205B4"/>
    <w:rsid w:val="00C232A4"/>
    <w:rsid w:val="00C2684F"/>
    <w:rsid w:val="00C3055F"/>
    <w:rsid w:val="00C329FC"/>
    <w:rsid w:val="00CA57EE"/>
    <w:rsid w:val="00CC46BA"/>
    <w:rsid w:val="00CD400D"/>
    <w:rsid w:val="00CF62D9"/>
    <w:rsid w:val="00CF73D0"/>
    <w:rsid w:val="00D036F1"/>
    <w:rsid w:val="00D274A2"/>
    <w:rsid w:val="00D30606"/>
    <w:rsid w:val="00D376DD"/>
    <w:rsid w:val="00D601C6"/>
    <w:rsid w:val="00D74042"/>
    <w:rsid w:val="00D7700C"/>
    <w:rsid w:val="00D866A8"/>
    <w:rsid w:val="00DA218A"/>
    <w:rsid w:val="00DA616A"/>
    <w:rsid w:val="00DC77F6"/>
    <w:rsid w:val="00DD5536"/>
    <w:rsid w:val="00DF11D0"/>
    <w:rsid w:val="00E113C3"/>
    <w:rsid w:val="00E11D57"/>
    <w:rsid w:val="00E17002"/>
    <w:rsid w:val="00E17BAD"/>
    <w:rsid w:val="00E22B69"/>
    <w:rsid w:val="00E24121"/>
    <w:rsid w:val="00E30C15"/>
    <w:rsid w:val="00E367DA"/>
    <w:rsid w:val="00E369B6"/>
    <w:rsid w:val="00E53A71"/>
    <w:rsid w:val="00E844EB"/>
    <w:rsid w:val="00E87E7F"/>
    <w:rsid w:val="00E954D4"/>
    <w:rsid w:val="00EB2D8F"/>
    <w:rsid w:val="00EB7968"/>
    <w:rsid w:val="00EC4DDB"/>
    <w:rsid w:val="00EC6956"/>
    <w:rsid w:val="00EE732B"/>
    <w:rsid w:val="00EF3404"/>
    <w:rsid w:val="00F0242D"/>
    <w:rsid w:val="00F062ED"/>
    <w:rsid w:val="00F133B8"/>
    <w:rsid w:val="00F31C4F"/>
    <w:rsid w:val="00F32E6E"/>
    <w:rsid w:val="00F460F1"/>
    <w:rsid w:val="00F51283"/>
    <w:rsid w:val="00F61493"/>
    <w:rsid w:val="00F650D4"/>
    <w:rsid w:val="00F775FF"/>
    <w:rsid w:val="00F77D41"/>
    <w:rsid w:val="00F97420"/>
    <w:rsid w:val="00FA1E55"/>
    <w:rsid w:val="00FB7601"/>
    <w:rsid w:val="00FC748D"/>
    <w:rsid w:val="00FD1E72"/>
    <w:rsid w:val="00FF0282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6A05"/>
    <w:pPr>
      <w:keepNext/>
      <w:keepLines/>
      <w:spacing w:before="200" w:line="276" w:lineRule="auto"/>
      <w:jc w:val="both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uiPriority w:val="99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0D6A05"/>
    <w:rPr>
      <w:rFonts w:ascii="Cambria" w:hAnsi="Cambria"/>
      <w:b/>
      <w:bCs/>
      <w:color w:val="4F81BD"/>
      <w:sz w:val="26"/>
      <w:szCs w:val="26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0D6A05"/>
  </w:style>
  <w:style w:type="character" w:customStyle="1" w:styleId="Nagwek1Znak">
    <w:name w:val="Nagłówek 1 Znak"/>
    <w:link w:val="Nagwek1"/>
    <w:uiPriority w:val="9"/>
    <w:rsid w:val="000D6A05"/>
    <w:rPr>
      <w:rFonts w:ascii="Arial" w:hAnsi="Arial" w:cs="Arial"/>
      <w:b/>
      <w:bCs/>
      <w:kern w:val="32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6A05"/>
    <w:pPr>
      <w:keepLines/>
      <w:spacing w:before="480" w:after="0" w:line="276" w:lineRule="auto"/>
      <w:jc w:val="center"/>
      <w:outlineLvl w:val="9"/>
    </w:pPr>
    <w:rPr>
      <w:rFonts w:ascii="Verdana" w:hAnsi="Verdana" w:cs="Times New Roman"/>
      <w:b w:val="0"/>
      <w:kern w:val="0"/>
      <w:sz w:val="4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D6A05"/>
    <w:pPr>
      <w:spacing w:after="100" w:line="276" w:lineRule="auto"/>
      <w:ind w:left="220"/>
      <w:jc w:val="both"/>
    </w:pPr>
    <w:rPr>
      <w:rFonts w:ascii="Verdana" w:hAnsi="Verdana"/>
      <w:sz w:val="20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D6A05"/>
    <w:pPr>
      <w:tabs>
        <w:tab w:val="right" w:leader="dot" w:pos="9062"/>
      </w:tabs>
      <w:spacing w:after="100" w:line="276" w:lineRule="auto"/>
      <w:jc w:val="both"/>
    </w:pPr>
    <w:rPr>
      <w:rFonts w:ascii="Verdana" w:hAnsi="Verdana"/>
      <w:noProof/>
      <w:sz w:val="20"/>
      <w:szCs w:val="20"/>
      <w:u w:val="single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D6A05"/>
    <w:pPr>
      <w:spacing w:after="100" w:line="276" w:lineRule="auto"/>
      <w:ind w:left="440"/>
      <w:jc w:val="both"/>
    </w:pPr>
    <w:rPr>
      <w:rFonts w:ascii="Verdana" w:hAnsi="Verdana"/>
      <w:sz w:val="20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0D6A05"/>
    <w:pPr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rsid w:val="000D6A05"/>
    <w:rPr>
      <w:rFonts w:ascii="Tahoma" w:eastAsia="Calibri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0D6A05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A05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aliases w:val="tytuły rozdziałów"/>
    <w:next w:val="Normalny"/>
    <w:link w:val="BezodstpwZnak"/>
    <w:uiPriority w:val="1"/>
    <w:qFormat/>
    <w:rsid w:val="000D6A05"/>
    <w:rPr>
      <w:rFonts w:ascii="Verdana" w:eastAsia="Calibri" w:hAnsi="Verdana"/>
      <w:b/>
      <w:szCs w:val="22"/>
      <w:u w:val="single"/>
      <w:lang w:eastAsia="en-US"/>
    </w:rPr>
  </w:style>
  <w:style w:type="character" w:customStyle="1" w:styleId="BezodstpwZnak">
    <w:name w:val="Bez odstępów Znak"/>
    <w:aliases w:val="tytuły rozdziałów Znak"/>
    <w:link w:val="Bezodstpw"/>
    <w:uiPriority w:val="1"/>
    <w:rsid w:val="000D6A05"/>
    <w:rPr>
      <w:rFonts w:ascii="Verdana" w:eastAsia="Calibri" w:hAnsi="Verdana"/>
      <w:b/>
      <w:szCs w:val="22"/>
      <w:u w:val="single"/>
      <w:lang w:val="pl-PL" w:eastAsia="en-US" w:bidi="ar-SA"/>
    </w:rPr>
  </w:style>
  <w:style w:type="paragraph" w:customStyle="1" w:styleId="Default">
    <w:name w:val="Default"/>
    <w:rsid w:val="000D6A0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D6A05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0D6A05"/>
    <w:rPr>
      <w:rFonts w:ascii="Verdana" w:eastAsia="Calibri" w:hAnsi="Verdana"/>
      <w:lang w:eastAsia="en-US"/>
    </w:rPr>
  </w:style>
  <w:style w:type="character" w:styleId="Odwoanieprzypisukocowego">
    <w:name w:val="endnote reference"/>
    <w:uiPriority w:val="99"/>
    <w:unhideWhenUsed/>
    <w:rsid w:val="000D6A05"/>
    <w:rPr>
      <w:vertAlign w:val="superscript"/>
    </w:rPr>
  </w:style>
  <w:style w:type="character" w:styleId="Odwoaniedokomentarza">
    <w:name w:val="annotation reference"/>
    <w:uiPriority w:val="99"/>
    <w:unhideWhenUsed/>
    <w:rsid w:val="000D6A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6A05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0D6A05"/>
    <w:rPr>
      <w:rFonts w:ascii="Verdana" w:eastAsia="Calibri" w:hAnsi="Verdan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D6A0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D6A05"/>
    <w:rPr>
      <w:rFonts w:ascii="Verdana" w:eastAsia="Calibri" w:hAnsi="Verdana"/>
      <w:b/>
      <w:bCs/>
      <w:lang w:eastAsia="en-US"/>
    </w:rPr>
  </w:style>
  <w:style w:type="paragraph" w:customStyle="1" w:styleId="Bezodstpw1">
    <w:name w:val="Bez odstępów1"/>
    <w:rsid w:val="000D6A0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unhideWhenUsed/>
    <w:rsid w:val="008746F0"/>
    <w:rPr>
      <w:color w:val="800080" w:themeColor="followedHyperlink"/>
      <w:u w:val="single"/>
    </w:rPr>
  </w:style>
  <w:style w:type="paragraph" w:customStyle="1" w:styleId="Bezodstpw2">
    <w:name w:val="Bez odstępów2"/>
    <w:rsid w:val="008746F0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A044AB"/>
    <w:rPr>
      <w:b/>
      <w:bCs/>
    </w:rPr>
  </w:style>
  <w:style w:type="paragraph" w:customStyle="1" w:styleId="western">
    <w:name w:val="western"/>
    <w:basedOn w:val="Normalny"/>
    <w:rsid w:val="00F0242D"/>
    <w:pPr>
      <w:spacing w:before="100" w:beforeAutospacing="1" w:after="100" w:afterAutospacing="1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6A05"/>
    <w:pPr>
      <w:keepNext/>
      <w:keepLines/>
      <w:spacing w:before="200" w:line="276" w:lineRule="auto"/>
      <w:jc w:val="both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uiPriority w:val="99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0D6A05"/>
    <w:rPr>
      <w:rFonts w:ascii="Cambria" w:hAnsi="Cambria"/>
      <w:b/>
      <w:bCs/>
      <w:color w:val="4F81BD"/>
      <w:sz w:val="26"/>
      <w:szCs w:val="26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0D6A05"/>
  </w:style>
  <w:style w:type="character" w:customStyle="1" w:styleId="Nagwek1Znak">
    <w:name w:val="Nagłówek 1 Znak"/>
    <w:link w:val="Nagwek1"/>
    <w:uiPriority w:val="9"/>
    <w:rsid w:val="000D6A05"/>
    <w:rPr>
      <w:rFonts w:ascii="Arial" w:hAnsi="Arial" w:cs="Arial"/>
      <w:b/>
      <w:bCs/>
      <w:kern w:val="32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6A05"/>
    <w:pPr>
      <w:keepLines/>
      <w:spacing w:before="480" w:after="0" w:line="276" w:lineRule="auto"/>
      <w:jc w:val="center"/>
      <w:outlineLvl w:val="9"/>
    </w:pPr>
    <w:rPr>
      <w:rFonts w:ascii="Verdana" w:hAnsi="Verdana" w:cs="Times New Roman"/>
      <w:b w:val="0"/>
      <w:kern w:val="0"/>
      <w:sz w:val="4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D6A05"/>
    <w:pPr>
      <w:spacing w:after="100" w:line="276" w:lineRule="auto"/>
      <w:ind w:left="220"/>
      <w:jc w:val="both"/>
    </w:pPr>
    <w:rPr>
      <w:rFonts w:ascii="Verdana" w:hAnsi="Verdana"/>
      <w:sz w:val="20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D6A05"/>
    <w:pPr>
      <w:tabs>
        <w:tab w:val="right" w:leader="dot" w:pos="9062"/>
      </w:tabs>
      <w:spacing w:after="100" w:line="276" w:lineRule="auto"/>
      <w:jc w:val="both"/>
    </w:pPr>
    <w:rPr>
      <w:rFonts w:ascii="Verdana" w:hAnsi="Verdana"/>
      <w:noProof/>
      <w:sz w:val="20"/>
      <w:szCs w:val="20"/>
      <w:u w:val="single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D6A05"/>
    <w:pPr>
      <w:spacing w:after="100" w:line="276" w:lineRule="auto"/>
      <w:ind w:left="440"/>
      <w:jc w:val="both"/>
    </w:pPr>
    <w:rPr>
      <w:rFonts w:ascii="Verdana" w:hAnsi="Verdana"/>
      <w:sz w:val="20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0D6A05"/>
    <w:pPr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rsid w:val="000D6A05"/>
    <w:rPr>
      <w:rFonts w:ascii="Tahoma" w:eastAsia="Calibri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0D6A05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A05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aliases w:val="tytuły rozdziałów"/>
    <w:next w:val="Normalny"/>
    <w:link w:val="BezodstpwZnak"/>
    <w:uiPriority w:val="1"/>
    <w:qFormat/>
    <w:rsid w:val="000D6A05"/>
    <w:rPr>
      <w:rFonts w:ascii="Verdana" w:eastAsia="Calibri" w:hAnsi="Verdana"/>
      <w:b/>
      <w:szCs w:val="22"/>
      <w:u w:val="single"/>
      <w:lang w:eastAsia="en-US"/>
    </w:rPr>
  </w:style>
  <w:style w:type="character" w:customStyle="1" w:styleId="BezodstpwZnak">
    <w:name w:val="Bez odstępów Znak"/>
    <w:aliases w:val="tytuły rozdziałów Znak"/>
    <w:link w:val="Bezodstpw"/>
    <w:uiPriority w:val="1"/>
    <w:rsid w:val="000D6A05"/>
    <w:rPr>
      <w:rFonts w:ascii="Verdana" w:eastAsia="Calibri" w:hAnsi="Verdana"/>
      <w:b/>
      <w:szCs w:val="22"/>
      <w:u w:val="single"/>
      <w:lang w:val="pl-PL" w:eastAsia="en-US" w:bidi="ar-SA"/>
    </w:rPr>
  </w:style>
  <w:style w:type="paragraph" w:customStyle="1" w:styleId="Default">
    <w:name w:val="Default"/>
    <w:rsid w:val="000D6A0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D6A05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0D6A05"/>
    <w:rPr>
      <w:rFonts w:ascii="Verdana" w:eastAsia="Calibri" w:hAnsi="Verdana"/>
      <w:lang w:eastAsia="en-US"/>
    </w:rPr>
  </w:style>
  <w:style w:type="character" w:styleId="Odwoanieprzypisukocowego">
    <w:name w:val="endnote reference"/>
    <w:uiPriority w:val="99"/>
    <w:unhideWhenUsed/>
    <w:rsid w:val="000D6A05"/>
    <w:rPr>
      <w:vertAlign w:val="superscript"/>
    </w:rPr>
  </w:style>
  <w:style w:type="character" w:styleId="Odwoaniedokomentarza">
    <w:name w:val="annotation reference"/>
    <w:uiPriority w:val="99"/>
    <w:unhideWhenUsed/>
    <w:rsid w:val="000D6A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6A05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0D6A05"/>
    <w:rPr>
      <w:rFonts w:ascii="Verdana" w:eastAsia="Calibri" w:hAnsi="Verdan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D6A0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D6A05"/>
    <w:rPr>
      <w:rFonts w:ascii="Verdana" w:eastAsia="Calibri" w:hAnsi="Verdana"/>
      <w:b/>
      <w:bCs/>
      <w:lang w:eastAsia="en-US"/>
    </w:rPr>
  </w:style>
  <w:style w:type="paragraph" w:customStyle="1" w:styleId="Bezodstpw1">
    <w:name w:val="Bez odstępów1"/>
    <w:rsid w:val="000D6A0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unhideWhenUsed/>
    <w:rsid w:val="008746F0"/>
    <w:rPr>
      <w:color w:val="800080" w:themeColor="followedHyperlink"/>
      <w:u w:val="single"/>
    </w:rPr>
  </w:style>
  <w:style w:type="paragraph" w:customStyle="1" w:styleId="Bezodstpw2">
    <w:name w:val="Bez odstępów2"/>
    <w:rsid w:val="008746F0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A044AB"/>
    <w:rPr>
      <w:b/>
      <w:bCs/>
    </w:rPr>
  </w:style>
  <w:style w:type="paragraph" w:customStyle="1" w:styleId="western">
    <w:name w:val="western"/>
    <w:basedOn w:val="Normalny"/>
    <w:rsid w:val="00F0242D"/>
    <w:pPr>
      <w:spacing w:before="100" w:beforeAutospacing="1" w:after="100" w:afterAutospacing="1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2403</Words>
  <Characters>14378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Impel</Company>
  <LinksUpToDate>false</LinksUpToDate>
  <CharactersWithSpaces>16748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User_ADM_03</cp:lastModifiedBy>
  <cp:revision>4</cp:revision>
  <cp:lastPrinted>2017-04-04T08:56:00Z</cp:lastPrinted>
  <dcterms:created xsi:type="dcterms:W3CDTF">2021-04-02T06:21:00Z</dcterms:created>
  <dcterms:modified xsi:type="dcterms:W3CDTF">2021-04-13T14:05:00Z</dcterms:modified>
</cp:coreProperties>
</file>