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AA47D1" w:rsidP="00AA47D1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bookmarkStart w:id="0" w:name="_GoBack"/>
            <w:bookmarkEnd w:id="0"/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043BFE" w:rsidP="00AE32B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9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AA47D1">
        <w:rPr>
          <w:rFonts w:eastAsia="Times New Roman" w:cs="Times New Roman"/>
          <w:b/>
          <w:sz w:val="24"/>
          <w:szCs w:val="24"/>
        </w:rPr>
        <w:t>4</w:t>
      </w:r>
    </w:p>
    <w:p w:rsidR="00B64E17" w:rsidRPr="00AB7AC2" w:rsidRDefault="009F2A02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  <w:r>
        <w:rPr>
          <w:b/>
          <w:sz w:val="24"/>
          <w:szCs w:val="24"/>
          <w:lang w:eastAsia="pl-PL"/>
        </w:rPr>
        <w:t>kardiomonitor</w:t>
      </w:r>
    </w:p>
    <w:tbl>
      <w:tblPr>
        <w:tblW w:w="10491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819"/>
        <w:gridCol w:w="1276"/>
        <w:gridCol w:w="1418"/>
        <w:gridCol w:w="2268"/>
      </w:tblGrid>
      <w:tr w:rsidR="00AE32B7" w:rsidRPr="00AE0058" w:rsidTr="00CC7D06">
        <w:trPr>
          <w:trHeight w:val="72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7F250D" w:rsidP="009F2A02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2"/>
              </w:rPr>
              <w:t xml:space="preserve">Kardiomonitor 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Spełnienie parametrów TAK/NIE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Parametr oferowany*)</w:t>
            </w: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Parametr oceniany </w:t>
            </w:r>
            <w:r w:rsidR="007F250D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>–</w:t>
            </w:r>
            <w:r w:rsidRPr="00AE0058">
              <w:rPr>
                <w:rFonts w:asciiTheme="minorHAnsi" w:hAnsiTheme="minorHAnsi" w:cs="Times New Roman"/>
                <w:b/>
                <w:sz w:val="22"/>
                <w:szCs w:val="22"/>
                <w:lang w:eastAsia="pl-PL"/>
              </w:rPr>
              <w:t xml:space="preserve"> punktacja</w:t>
            </w: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Nazwa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Typ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 xml:space="preserve">Producent 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B626F0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</w:pPr>
            <w:r w:rsidRPr="00AE0058">
              <w:t>Kraj pochodzenia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AE0058">
              <w:t>Podać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91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Urządzenie fabrycznie nowe, nie starsze niż 2020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Cs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bCs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Kolorowy ekran  o dużym kącie widzenia (powyż</w:t>
            </w:r>
            <w:r w:rsidR="00C21202">
              <w:rPr>
                <w:rFonts w:cs="Times New Roman"/>
              </w:rPr>
              <w:t>ej 160ͦ) o przekątnej minimum 19</w:t>
            </w:r>
            <w:r w:rsidRPr="00AE0058">
              <w:rPr>
                <w:rFonts w:cs="Times New Roman"/>
              </w:rPr>
              <w:t xml:space="preserve"> cali 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13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Min. 6 krzywych dynamicznych wyświetlanych jednocześnie na ekranie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1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Zasilanie sieciowe dostosowane do 230V/50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Hz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. Wewnętrzny akumulator, wymienialny przez użytkownika, pozwalający na min. 60 minut pracy w konfiguracji EKG, NIBP, SpO2.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289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5</w:t>
            </w:r>
          </w:p>
        </w:tc>
        <w:tc>
          <w:tcPr>
            <w:tcW w:w="48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Wyposażenie złącza wejścia/wyjścia:</w:t>
            </w:r>
          </w:p>
          <w:p w:rsidR="00AE32B7" w:rsidRPr="00AE0058" w:rsidRDefault="00AE32B7" w:rsidP="00CC7D06">
            <w:r w:rsidRPr="00AE0058">
              <w:rPr>
                <w:rFonts w:cs="Times New Roman"/>
              </w:rPr>
              <w:t>a) wyjście sygnału DVI lub VGA do podłączenia ekranu kopiującego,</w:t>
            </w:r>
          </w:p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b) co najmniej 3 gniazda USB do podłączenia klawiatury, myszki komp., skanera kodów paskowych</w:t>
            </w: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c) gniazdo do podłączenia z siecią monitorowania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c) Tak – 5 pkt</w:t>
            </w: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   Nie – 1 pkt</w:t>
            </w:r>
          </w:p>
        </w:tc>
      </w:tr>
      <w:tr w:rsidR="00AE32B7" w:rsidRPr="00AE0058" w:rsidTr="00CC7D06">
        <w:trPr>
          <w:trHeight w:val="300"/>
        </w:trPr>
        <w:tc>
          <w:tcPr>
            <w:tcW w:w="104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Mierzone parametry w monitorze: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7F250D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EKG </w:t>
            </w:r>
            <w:r w:rsidR="007F250D">
              <w:rPr>
                <w:rFonts w:asciiTheme="minorHAnsi" w:hAnsiTheme="minorHAnsi" w:cs="Times New Roman"/>
                <w:sz w:val="22"/>
                <w:szCs w:val="22"/>
              </w:rPr>
              <w:t>–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pomiar częstości akcji serca. Zakres min. 30-300/min. Ustawianie prędkości przesuwu krzywej EKG do wyboru co najmniej: 6.25; 12.5; 25; 50 mm/s. Ustawianie wzmocnienia krzywej EKG do wyboru co najmniej: x0.125; x0.25; x0.5; x1; x2; x4 lub </w:t>
            </w:r>
            <w:r w:rsidRPr="00AE0058">
              <w:rPr>
                <w:rFonts w:asciiTheme="minorHAnsi" w:eastAsia="Times New Roman" w:hAnsiTheme="minorHAnsi"/>
                <w:sz w:val="22"/>
                <w:szCs w:val="22"/>
                <w:lang w:val="pl" w:eastAsia="pl-PL"/>
              </w:rPr>
              <w:t>x0.25; x0.5; x1; x2; x4</w:t>
            </w:r>
            <w:r w:rsidR="007F250D">
              <w:rPr>
                <w:rFonts w:asciiTheme="minorHAnsi" w:hAnsiTheme="minorHAnsi" w:cs="Times New Roman"/>
                <w:sz w:val="22"/>
                <w:szCs w:val="22"/>
              </w:rPr>
              <w:t>.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  W komplecie z monitorem przewód EKG z kompletem 5 końcówek 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8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Analiza odcinka ST- jednoczesny pomiar odchylenia 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 xml:space="preserve">odcinka ST we wszystkich odprowadzeniach w zakresie co najmniej od -2,0 do +2,0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jc w:val="both"/>
            </w:pPr>
            <w:r w:rsidRPr="00AE0058">
              <w:rPr>
                <w:rFonts w:cs="Times New Roman"/>
              </w:rPr>
              <w:t xml:space="preserve">Analiza zmian odcinka QT oraz obliczanie wartości </w:t>
            </w:r>
            <w:proofErr w:type="spellStart"/>
            <w:r w:rsidRPr="00AE0058">
              <w:rPr>
                <w:rFonts w:cs="Times New Roman"/>
              </w:rPr>
              <w:t>QTc</w:t>
            </w:r>
            <w:proofErr w:type="spellEnd"/>
            <w:r w:rsidRPr="00AE0058">
              <w:rPr>
                <w:rFonts w:cs="Times New Roman"/>
              </w:rPr>
              <w:t xml:space="preserve"> dopuszcza się </w:t>
            </w:r>
            <w:r w:rsidRPr="00AE0058">
              <w:rPr>
                <w:rFonts w:eastAsia="Times New Roman"/>
                <w:lang w:eastAsia="pl-PL"/>
              </w:rPr>
              <w:t xml:space="preserve">bez ciągłego monitorowania </w:t>
            </w:r>
            <w:r w:rsidRPr="00AE0058">
              <w:rPr>
                <w:rFonts w:eastAsia="Times New Roman"/>
                <w:lang w:eastAsia="pl-PL"/>
              </w:rPr>
              <w:br/>
              <w:t>i wyświetlania wartości  odcinka QT/</w:t>
            </w:r>
            <w:proofErr w:type="spellStart"/>
            <w:r w:rsidRPr="00AE0058">
              <w:rPr>
                <w:rFonts w:eastAsia="Times New Roman"/>
                <w:lang w:eastAsia="pl-PL"/>
              </w:rPr>
              <w:t>QTc</w:t>
            </w:r>
            <w:proofErr w:type="spellEnd"/>
            <w:r w:rsidRPr="00AE0058">
              <w:rPr>
                <w:rFonts w:eastAsia="Times New Roman"/>
                <w:lang w:eastAsia="pl-PL"/>
              </w:rPr>
              <w:t xml:space="preserve"> na ekranie kardiomonitora lecz z możliwością pomiaru HRV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Tak, podać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10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AA47D1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Pomiar częstości oddechu metodą impedancyjną. Zakres pomiarowy częstości oddechu co najmniej od 5 do 100 R/min. Możliwość wyboru </w:t>
            </w:r>
            <w:r w:rsidR="007F250D">
              <w:rPr>
                <w:rFonts w:asciiTheme="minorHAnsi" w:hAnsiTheme="minorHAnsi" w:cs="Times New Roman"/>
                <w:sz w:val="22"/>
                <w:szCs w:val="22"/>
              </w:rPr>
              <w:pgNum/>
            </w:r>
            <w:r w:rsidR="00AA47D1">
              <w:rPr>
                <w:rFonts w:asciiTheme="minorHAnsi" w:hAnsiTheme="minorHAnsi" w:cs="Times New Roman"/>
                <w:sz w:val="22"/>
                <w:szCs w:val="22"/>
              </w:rPr>
              <w:t xml:space="preserve"> </w:t>
            </w:r>
            <w:proofErr w:type="spellStart"/>
            <w:r w:rsidR="00AA47D1">
              <w:rPr>
                <w:rFonts w:asciiTheme="minorHAnsi" w:hAnsiTheme="minorHAnsi" w:cs="Times New Roman"/>
                <w:sz w:val="22"/>
                <w:szCs w:val="22"/>
              </w:rPr>
              <w:t>odprowadzeń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do monitorowania respiracji. Wybór prędkości przesuwu krzywych co najmniej: 3; 6.25; 12.5; 25 mm/s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11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Saturacja. Zakres pomiarowy SpO2 0-100%. Zakres pomiarowy częstości pulsu co najmniej 30-300 P/min. Jednoczesne wyświetlanie krzywej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pletzymograficznej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 oraz wartości % saturacji i częstości pulsu. Alarm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desaturacji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. W komplecie z monitorem przewód interfejsowy oraz  2 wielorazowe czujniki SpO2 typu klips na palec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Nieinwazyjny pomiar ciśnienia metodą oscylometryczną. Pomiar ręczny, automatyczny i ciągły (powtarzające się pomiary w okresie co najmniej 4 min.). Pomiar automatyczny z regulowanym interwałem co najmniej 1-480 minut. Prezentacja wartości: skurczowej, rozkurczowej oraz średniej. Funkcja </w:t>
            </w:r>
            <w:proofErr w:type="spellStart"/>
            <w:r w:rsidRPr="00AE0058">
              <w:rPr>
                <w:rFonts w:cs="Times New Roman"/>
              </w:rPr>
              <w:t>stazy</w:t>
            </w:r>
            <w:proofErr w:type="spellEnd"/>
            <w:r w:rsidRPr="00AE0058">
              <w:rPr>
                <w:rFonts w:cs="Times New Roman"/>
              </w:rPr>
              <w:t xml:space="preserve">. Funkcja wstępnego ustawiania ciśnienia pompowania mankietu. Pomiar częstości pulsu wraz z nieinwazyjnym </w:t>
            </w:r>
            <w:r w:rsidR="007F250D">
              <w:rPr>
                <w:rFonts w:cs="Times New Roman"/>
              </w:rPr>
              <w:t xml:space="preserve">pomiarem </w:t>
            </w:r>
            <w:r w:rsidRPr="00AE0058">
              <w:rPr>
                <w:rFonts w:cs="Times New Roman"/>
              </w:rPr>
              <w:t>ciśnieniem co najmniej w zakresie od 30 do 300 P/min. W komplecie z monitorem przewód oraz mankiety mały, średni i duży dla dorosłych oraz mankiet dla osób otyłych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13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Pomiar temperatury, min 1 tor pomiarowy. W komplecie powierzchniowy oraz przełykowy czujnik temperatury dla dorosłych (wielorazowy)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 xml:space="preserve">Pomiar inwazyjnego ciśnienia. (min. 2 tory w każdym monitorze) Wyświetlanie wartości skurczowych, rozkurczowych i średnich. Zakres pomiarowy inwazyjnego ciśnienia co najmniej od -20/50 do +300/350 </w:t>
            </w:r>
            <w:proofErr w:type="spellStart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mmHg</w:t>
            </w:r>
            <w:proofErr w:type="spellEnd"/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. Pomiar częstości pulsu wraz z inwazyjnym ciśnieniem co najmniej w zakresie do 30 do 300 P/min. W komplecie z monitorem: dwa przewody połączeniowe do przetworników ciśnienia kompatybilne z przetwornikami posiadanymi przez zamawiającego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ab/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Pomiar kapnografii w strumieniu bocznym. Zakres pomiarowy stężenia CO2 od 0-90 </w:t>
            </w:r>
            <w:proofErr w:type="spellStart"/>
            <w:r w:rsidRPr="00AE0058">
              <w:rPr>
                <w:rFonts w:cs="Times New Roman"/>
              </w:rPr>
              <w:t>mmHg</w:t>
            </w:r>
            <w:proofErr w:type="spellEnd"/>
            <w:r w:rsidRPr="00AE0058">
              <w:rPr>
                <w:rFonts w:cs="Times New Roman"/>
              </w:rPr>
              <w:t>. Zakres pomiarowy częstości oddechu co najmniej od 4 do 120 R/min., funkcja kreślenia krzywej, pomiar stężenia wdechowego CO2 z wyświetlaniem jej wartości.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16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Pomiar przewodnictwa w złączu nerwowo mięśniowym z możliwością stymulacji w celu identyfikacji obwodowych struktur nerwowych (zamawiający dopuszcza oddzielne urządzenie)  W komplecie 10 zestawów elektrod pomiarowych.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17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Pomiar głębokości znieczulenia (BIS lub Entropia; zamawiający może dopuścić inna metodę po przedstawieniu danych technicznych i literaturowych). W komplecie 10 zestawów elektrod pomiarowych.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18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Alarmy: ustawianie granic alarmowych przez użytkownika oraz funkcja automatycznego ustawiania granic alarmowych na podstawie bieżących wartości parametrów. Ustawianie głośności alarmowania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19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Przynajmniej 24- godzinne trendy wszystkich mierzonych parametrów, w postaci tabel i wykresów z rozdzielczością przynajmniej 1 minuty.</w:t>
            </w: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20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Zapamiętywanie krzywych dynamicznych w czasie rzeczywistym (funkcja </w:t>
            </w:r>
            <w:proofErr w:type="spellStart"/>
            <w:r w:rsidRPr="00AE0058">
              <w:rPr>
                <w:rFonts w:cs="Times New Roman"/>
              </w:rPr>
              <w:t>full</w:t>
            </w:r>
            <w:proofErr w:type="spellEnd"/>
            <w:r w:rsidRPr="00AE0058">
              <w:rPr>
                <w:rFonts w:cs="Times New Roman"/>
              </w:rPr>
              <w:t xml:space="preserve"> </w:t>
            </w:r>
            <w:proofErr w:type="spellStart"/>
            <w:r w:rsidRPr="00AE0058">
              <w:rPr>
                <w:rFonts w:cs="Times New Roman"/>
              </w:rPr>
              <w:t>dislosure</w:t>
            </w:r>
            <w:proofErr w:type="spellEnd"/>
            <w:r w:rsidRPr="00AE0058">
              <w:rPr>
                <w:rFonts w:cs="Times New Roman"/>
              </w:rPr>
              <w:t xml:space="preserve">) </w:t>
            </w:r>
            <w:r w:rsidR="007F250D">
              <w:rPr>
                <w:rFonts w:cs="Times New Roman"/>
              </w:rPr>
              <w:t>–</w:t>
            </w:r>
            <w:r w:rsidRPr="00AE0058">
              <w:rPr>
                <w:rFonts w:cs="Times New Roman"/>
              </w:rPr>
              <w:t xml:space="preserve"> pamięć min. 24 godzin</w:t>
            </w:r>
            <w:r w:rsidRPr="00AE0058">
              <w:rPr>
                <w:rFonts w:cs="Times New Roman"/>
              </w:rPr>
              <w:tab/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Nie – 1 pkt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21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Zapamiętywanie co najmniej 500 zdarzeń alarmowych (krzywe i odpowiadające im wartości parametrów)</w:t>
            </w:r>
            <w:r w:rsidRPr="00AE0058">
              <w:rPr>
                <w:rFonts w:cs="Times New Roman"/>
              </w:rPr>
              <w:tab/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Nie – 1 pkt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22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Monitor przystosowany do pracy w sieci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Nie – 1 pkt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23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 xml:space="preserve">Możliwość podłączenia do monitora, bez pośrednictwa centrali, sieciowej drukarki laserowej i wykonywania wydruków na standardowym papierze formatu A4: krzywych dynamicznych oraz trendów graficznych i tabelarycznych </w:t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Parametr oceniany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 – 5 pkt</w:t>
            </w: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Nie – 1 pkt</w:t>
            </w:r>
          </w:p>
        </w:tc>
      </w:tr>
      <w:tr w:rsidR="00AE32B7" w:rsidRPr="00AE0058" w:rsidTr="00CC7D06">
        <w:trPr>
          <w:trHeight w:val="30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24</w:t>
            </w:r>
          </w:p>
        </w:tc>
        <w:tc>
          <w:tcPr>
            <w:tcW w:w="4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rPr>
                <w:rFonts w:cs="Times New Roman"/>
              </w:rPr>
            </w:pPr>
            <w:r w:rsidRPr="00AE0058">
              <w:rPr>
                <w:rFonts w:cs="Times New Roman"/>
              </w:rPr>
              <w:t>Funkcja „</w:t>
            </w:r>
            <w:proofErr w:type="spellStart"/>
            <w:r w:rsidRPr="00AE0058">
              <w:rPr>
                <w:rFonts w:cs="Times New Roman"/>
              </w:rPr>
              <w:t>standby</w:t>
            </w:r>
            <w:proofErr w:type="spellEnd"/>
            <w:r w:rsidRPr="00AE0058">
              <w:rPr>
                <w:rFonts w:cs="Times New Roman"/>
              </w:rPr>
              <w:t xml:space="preserve">”, pozwalająca na wstrzymanie monitorowania pacjenta, związane </w:t>
            </w:r>
            <w:r w:rsidR="007F250D">
              <w:rPr>
                <w:rFonts w:cs="Times New Roman"/>
              </w:rPr>
              <w:t>np</w:t>
            </w:r>
            <w:r w:rsidRPr="00AE0058">
              <w:rPr>
                <w:rFonts w:cs="Times New Roman"/>
              </w:rPr>
              <w:t xml:space="preserve">. z czasowym odłączeniem go od monitora, bez konieczności </w:t>
            </w:r>
            <w:r w:rsidRPr="00AE0058">
              <w:rPr>
                <w:rFonts w:cs="Times New Roman"/>
              </w:rPr>
              <w:lastRenderedPageBreak/>
              <w:t>wyłączania monitora i na szybkie ponowne uruchomienie monitorowania</w:t>
            </w:r>
            <w:r w:rsidRPr="00AE0058">
              <w:rPr>
                <w:rFonts w:cs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lastRenderedPageBreak/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226"/>
        </w:trPr>
        <w:tc>
          <w:tcPr>
            <w:tcW w:w="104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</w:p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E0058">
              <w:rPr>
                <w:rFonts w:asciiTheme="minorHAnsi" w:hAnsiTheme="minorHAnsi"/>
                <w:b/>
                <w:sz w:val="22"/>
                <w:szCs w:val="22"/>
              </w:rPr>
              <w:t>Warunki gwarancji</w:t>
            </w:r>
          </w:p>
        </w:tc>
      </w:tr>
      <w:tr w:rsidR="00AE32B7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40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Style w:val="FontStyle15"/>
                <w:rFonts w:asciiTheme="minorHAnsi" w:hAnsiTheme="minorHAnsi"/>
              </w:rPr>
              <w:t xml:space="preserve">Wymagana gwarancja – </w:t>
            </w:r>
            <w:r w:rsidRPr="00AE0058">
              <w:rPr>
                <w:rStyle w:val="FontStyle15"/>
                <w:rFonts w:asciiTheme="minorHAnsi" w:hAnsiTheme="minorHAnsi"/>
                <w:b/>
                <w:color w:val="0000FF"/>
              </w:rPr>
              <w:t xml:space="preserve">24 miesiące </w:t>
            </w:r>
            <w:r w:rsidRPr="00AE0058">
              <w:rPr>
                <w:rStyle w:val="FontStyle15"/>
                <w:rFonts w:asciiTheme="minorHAnsi" w:hAnsiTheme="minorHAnsi"/>
              </w:rPr>
              <w:t>- zgodnie z warunkami określonymi w projekcie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AE32B7" w:rsidRPr="00AE0058" w:rsidTr="00CC7D06">
        <w:trPr>
          <w:trHeight w:val="5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E0058" w:rsidRDefault="00AE32B7" w:rsidP="00AE32B7">
            <w:pPr>
              <w:pStyle w:val="Standard"/>
              <w:numPr>
                <w:ilvl w:val="0"/>
                <w:numId w:val="8"/>
              </w:numPr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41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E32B7" w:rsidRPr="00AA47D1" w:rsidRDefault="00AE32B7" w:rsidP="00CC7D06">
            <w:pPr>
              <w:autoSpaceDE w:val="0"/>
              <w:rPr>
                <w:rFonts w:eastAsia="Times New Roman" w:cs="Times New Roman"/>
                <w:color w:val="000000"/>
                <w:lang w:eastAsia="ar-SA"/>
              </w:rPr>
            </w:pPr>
            <w:r w:rsidRPr="00AE0058">
              <w:rPr>
                <w:rFonts w:eastAsia="Times New Roman" w:cs="Times New Roman"/>
                <w:color w:val="000000"/>
                <w:lang w:eastAsia="ar-SA"/>
              </w:rPr>
              <w:t>Do każdego urządzenia powinny być załączone</w:t>
            </w:r>
            <w:r w:rsidR="00AA47D1">
              <w:rPr>
                <w:rFonts w:eastAsia="Times New Roman" w:cs="Times New Roman"/>
                <w:color w:val="000000"/>
                <w:lang w:eastAsia="ar-SA"/>
              </w:rPr>
              <w:t xml:space="preserve"> </w:t>
            </w:r>
            <w:r w:rsidRPr="00AA47D1">
              <w:rPr>
                <w:rFonts w:eastAsia="Times New Roman" w:cs="Times New Roman"/>
                <w:color w:val="000000"/>
                <w:lang w:eastAsia="ar-SA"/>
              </w:rPr>
              <w:t>następujące dokumenty:</w:t>
            </w:r>
          </w:p>
          <w:p w:rsidR="00AE32B7" w:rsidRPr="00AE0058" w:rsidRDefault="00AE32B7" w:rsidP="00AE32B7">
            <w:pPr>
              <w:numPr>
                <w:ilvl w:val="0"/>
                <w:numId w:val="4"/>
              </w:numPr>
              <w:tabs>
                <w:tab w:val="left" w:pos="210"/>
                <w:tab w:val="left" w:pos="708"/>
              </w:tabs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lang w:val="en-US" w:eastAsia="ar-SA"/>
              </w:rPr>
            </w:pPr>
            <w:proofErr w:type="spellStart"/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>Instrukcja</w:t>
            </w:r>
            <w:proofErr w:type="spellEnd"/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 xml:space="preserve"> w </w:t>
            </w:r>
            <w:proofErr w:type="spellStart"/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>języku</w:t>
            </w:r>
            <w:proofErr w:type="spellEnd"/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 xml:space="preserve"> </w:t>
            </w:r>
            <w:proofErr w:type="spellStart"/>
            <w:r w:rsidRPr="00AE0058">
              <w:rPr>
                <w:rFonts w:eastAsia="Times New Roman" w:cs="Times New Roman"/>
                <w:color w:val="000000"/>
                <w:lang w:val="en-US" w:eastAsia="ar-SA"/>
              </w:rPr>
              <w:t>polskim</w:t>
            </w:r>
            <w:proofErr w:type="spellEnd"/>
          </w:p>
          <w:p w:rsidR="00AE32B7" w:rsidRPr="00AE0058" w:rsidRDefault="00AE32B7" w:rsidP="00AE32B7">
            <w:pPr>
              <w:numPr>
                <w:ilvl w:val="0"/>
                <w:numId w:val="4"/>
              </w:numPr>
              <w:tabs>
                <w:tab w:val="left" w:pos="210"/>
                <w:tab w:val="left" w:pos="708"/>
              </w:tabs>
              <w:autoSpaceDE w:val="0"/>
              <w:autoSpaceDN w:val="0"/>
              <w:spacing w:after="0" w:line="240" w:lineRule="auto"/>
            </w:pPr>
            <w:r w:rsidRPr="00AE0058">
              <w:rPr>
                <w:rFonts w:eastAsia="Times New Roman" w:cs="Times New Roman"/>
                <w:color w:val="000000"/>
                <w:lang w:eastAsia="ar-SA"/>
              </w:rPr>
              <w:t>Wykaz dostawców części zamiennych i materiałów eksploatacyjnych - Dokument o którym mowa w Ustawie o wyrobach medycznych z dnia 20 maja 2010 r., Art. 90, ust. 3</w:t>
            </w:r>
          </w:p>
          <w:p w:rsidR="00AE32B7" w:rsidRPr="00AE0058" w:rsidRDefault="00AE32B7" w:rsidP="00CC7D06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AE0058">
              <w:rPr>
                <w:rFonts w:asciiTheme="minorHAnsi" w:eastAsia="Times New Roman" w:hAnsiTheme="minorHAnsi" w:cs="Times New Roman"/>
                <w:color w:val="000000"/>
                <w:sz w:val="22"/>
                <w:szCs w:val="22"/>
                <w:lang w:eastAsia="pl-PL" w:bidi="ar-SA"/>
              </w:rPr>
              <w:t>Wykaz podmiotów obsługi serwisowej - Dokument o którym mowa w Ustawie o wyrobach medycznych z dnia 20 maja 2010 r., Art. 90, ust. ust.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32B7" w:rsidRPr="00AE0058" w:rsidRDefault="00AE32B7" w:rsidP="00CC7D06">
            <w:pPr>
              <w:pStyle w:val="Standard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E0058">
              <w:rPr>
                <w:rFonts w:asciiTheme="minorHAnsi" w:hAnsiTheme="minorHAnsi" w:cs="Times New Roman"/>
                <w:sz w:val="22"/>
                <w:szCs w:val="22"/>
              </w:rPr>
              <w:t>Tak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E32B7" w:rsidRPr="00AE0058" w:rsidRDefault="00AE32B7" w:rsidP="00CC7D06">
            <w:pPr>
              <w:pStyle w:val="Standard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AE32B7" w:rsidRDefault="00AE32B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B64E17" w:rsidRDefault="00B64E17" w:rsidP="00B64E17"/>
    <w:p w:rsidR="00AB7AC2" w:rsidRPr="008022BD" w:rsidRDefault="00AB7AC2" w:rsidP="00B64E17"/>
    <w:p w:rsidR="00AB7AC2" w:rsidRDefault="00AB7AC2" w:rsidP="00AB7AC2">
      <w:pPr>
        <w:tabs>
          <w:tab w:val="left" w:pos="1230"/>
        </w:tabs>
        <w:jc w:val="center"/>
        <w:rPr>
          <w:b/>
          <w:bCs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DE3" w:rsidRDefault="00C54DE3" w:rsidP="00B64E17">
      <w:pPr>
        <w:spacing w:after="0" w:line="240" w:lineRule="auto"/>
      </w:pPr>
      <w:r>
        <w:separator/>
      </w:r>
    </w:p>
  </w:endnote>
  <w:endnote w:type="continuationSeparator" w:id="0">
    <w:p w:rsidR="00C54DE3" w:rsidRDefault="00C54DE3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191847360"/>
      <w:docPartObj>
        <w:docPartGallery w:val="Page Numbers (Bottom of Page)"/>
        <w:docPartUnique/>
      </w:docPartObj>
    </w:sdtPr>
    <w:sdtContent>
      <w:p w:rsidR="00AA47D1" w:rsidRPr="00AA47D1" w:rsidRDefault="00AA47D1">
        <w:pPr>
          <w:pStyle w:val="Stopka"/>
          <w:jc w:val="right"/>
          <w:rPr>
            <w:rFonts w:eastAsiaTheme="majorEastAsia" w:cstheme="majorBidi"/>
          </w:rPr>
        </w:pPr>
        <w:r w:rsidRPr="00AA47D1">
          <w:rPr>
            <w:rFonts w:eastAsiaTheme="majorEastAsia" w:cstheme="majorBidi"/>
          </w:rPr>
          <w:t xml:space="preserve">str. </w:t>
        </w:r>
        <w:r w:rsidRPr="00AA47D1">
          <w:rPr>
            <w:rFonts w:eastAsiaTheme="minorEastAsia"/>
          </w:rPr>
          <w:fldChar w:fldCharType="begin"/>
        </w:r>
        <w:r w:rsidRPr="00AA47D1">
          <w:instrText>PAGE    \* MERGEFORMAT</w:instrText>
        </w:r>
        <w:r w:rsidRPr="00AA47D1">
          <w:rPr>
            <w:rFonts w:eastAsiaTheme="minorEastAsia"/>
          </w:rPr>
          <w:fldChar w:fldCharType="separate"/>
        </w:r>
        <w:r w:rsidRPr="00AA47D1">
          <w:rPr>
            <w:rFonts w:eastAsiaTheme="majorEastAsia" w:cstheme="majorBidi"/>
            <w:noProof/>
          </w:rPr>
          <w:t>1</w:t>
        </w:r>
        <w:r w:rsidRPr="00AA47D1">
          <w:rPr>
            <w:rFonts w:eastAsiaTheme="majorEastAsia" w:cstheme="majorBidi"/>
          </w:rPr>
          <w:fldChar w:fldCharType="end"/>
        </w:r>
      </w:p>
    </w:sdtContent>
  </w:sdt>
  <w:p w:rsidR="00AA47D1" w:rsidRDefault="00AA47D1">
    <w:pPr>
      <w:pStyle w:val="Stopka"/>
    </w:pPr>
    <w:r>
      <w:t>Załącznik nr 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DE3" w:rsidRDefault="00C54DE3" w:rsidP="00B64E17">
      <w:pPr>
        <w:spacing w:after="0" w:line="240" w:lineRule="auto"/>
      </w:pPr>
      <w:r>
        <w:separator/>
      </w:r>
    </w:p>
  </w:footnote>
  <w:footnote w:type="continuationSeparator" w:id="0">
    <w:p w:rsidR="00C54DE3" w:rsidRDefault="00C54DE3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43BFE"/>
    <w:rsid w:val="0031692A"/>
    <w:rsid w:val="00341F38"/>
    <w:rsid w:val="00471060"/>
    <w:rsid w:val="00610932"/>
    <w:rsid w:val="00727043"/>
    <w:rsid w:val="007F250D"/>
    <w:rsid w:val="0098195E"/>
    <w:rsid w:val="009F2A02"/>
    <w:rsid w:val="00AA47D1"/>
    <w:rsid w:val="00AB7AC2"/>
    <w:rsid w:val="00AC6A7D"/>
    <w:rsid w:val="00AE0058"/>
    <w:rsid w:val="00AE32B7"/>
    <w:rsid w:val="00AE5A41"/>
    <w:rsid w:val="00B36ED9"/>
    <w:rsid w:val="00B64E17"/>
    <w:rsid w:val="00C21202"/>
    <w:rsid w:val="00C54DE3"/>
    <w:rsid w:val="00EA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6</cp:revision>
  <cp:lastPrinted>2020-10-27T08:01:00Z</cp:lastPrinted>
  <dcterms:created xsi:type="dcterms:W3CDTF">2020-10-20T09:18:00Z</dcterms:created>
  <dcterms:modified xsi:type="dcterms:W3CDTF">2020-10-27T08:01:00Z</dcterms:modified>
</cp:coreProperties>
</file>