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cs="Arial" w:ascii="Arial" w:hAnsi="Arial"/>
          <w:b/>
          <w:bCs/>
          <w:sz w:val="72"/>
          <w:szCs w:val="7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cs="Arial" w:ascii="Arial" w:hAnsi="Arial"/>
          <w:b/>
          <w:bCs/>
          <w:sz w:val="72"/>
          <w:szCs w:val="7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cs="Arial" w:ascii="Arial" w:hAnsi="Arial"/>
          <w:b/>
          <w:bCs/>
          <w:sz w:val="72"/>
          <w:szCs w:val="72"/>
        </w:rPr>
        <w:t>PLAN DZIAŁANIA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cs="Arial" w:ascii="Arial" w:hAnsi="Arial"/>
          <w:b/>
          <w:bCs/>
          <w:sz w:val="44"/>
          <w:szCs w:val="44"/>
        </w:rPr>
        <w:t xml:space="preserve">NA RZECZ POPRAWY ZAPEWNIENIA DOSTĘPNOŚCI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cs="Arial" w:ascii="Arial" w:hAnsi="Arial"/>
          <w:b/>
          <w:bCs/>
          <w:sz w:val="44"/>
          <w:szCs w:val="44"/>
        </w:rPr>
        <w:t>OSOBOM ZE SZCZEGÓLNYMI POTRZEBAMI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cs="Arial" w:ascii="Arial" w:hAnsi="Arial"/>
          <w:b/>
          <w:bCs/>
          <w:sz w:val="44"/>
          <w:szCs w:val="44"/>
        </w:rPr>
        <w:t>ZESPOŁU OPIEKI ZDROWOTNEJ W LIDZBARKU WARM</w:t>
      </w:r>
      <w:r>
        <w:rPr>
          <w:rFonts w:cs="Arial" w:ascii="Arial" w:hAnsi="Arial"/>
          <w:b/>
          <w:bCs/>
          <w:sz w:val="44"/>
          <w:szCs w:val="44"/>
        </w:rPr>
        <w:t>I</w:t>
      </w:r>
      <w:r>
        <w:rPr>
          <w:rFonts w:cs="Arial" w:ascii="Arial" w:hAnsi="Arial"/>
          <w:b/>
          <w:bCs/>
          <w:sz w:val="44"/>
          <w:szCs w:val="44"/>
        </w:rPr>
        <w:t>ŃSKIM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cs="Arial" w:ascii="Arial" w:hAnsi="Arial"/>
          <w:b/>
          <w:bCs/>
          <w:sz w:val="44"/>
          <w:szCs w:val="44"/>
        </w:rPr>
        <w:t>NA LATA 202</w:t>
      </w:r>
      <w:r>
        <w:rPr>
          <w:rFonts w:cs="Arial" w:ascii="Arial" w:hAnsi="Arial"/>
          <w:b/>
          <w:bCs/>
          <w:sz w:val="44"/>
          <w:szCs w:val="44"/>
        </w:rPr>
        <w:t>5</w:t>
      </w:r>
      <w:r>
        <w:rPr>
          <w:rFonts w:cs="Arial" w:ascii="Arial" w:hAnsi="Arial"/>
          <w:b/>
          <w:bCs/>
          <w:sz w:val="44"/>
          <w:szCs w:val="44"/>
        </w:rPr>
        <w:t>-202</w:t>
      </w:r>
      <w:r>
        <w:rPr>
          <w:rFonts w:cs="Arial" w:ascii="Arial" w:hAnsi="Arial"/>
          <w:b/>
          <w:bCs/>
          <w:sz w:val="44"/>
          <w:szCs w:val="44"/>
        </w:rPr>
        <w:t>6</w:t>
      </w:r>
    </w:p>
    <w:p>
      <w:pPr>
        <w:pStyle w:val="Normal"/>
        <w:rPr>
          <w:rFonts w:ascii="Arial-BoldMT" w:hAnsi="Arial-BoldMT" w:cs="Arial-BoldMT"/>
          <w:b/>
          <w:bCs/>
          <w:color w:val="FF0000"/>
          <w:sz w:val="32"/>
          <w:szCs w:val="32"/>
        </w:rPr>
      </w:pPr>
      <w:r>
        <w:rPr>
          <w:rFonts w:cs="Arial-BoldMT" w:ascii="Arial-BoldMT" w:hAnsi="Arial-BoldMT"/>
          <w:b/>
          <w:bCs/>
          <w:color w:val="FF0000"/>
          <w:sz w:val="32"/>
          <w:szCs w:val="32"/>
        </w:rPr>
      </w:r>
    </w:p>
    <w:p>
      <w:pPr>
        <w:pStyle w:val="Normal"/>
        <w:rPr>
          <w:rFonts w:ascii="Arial-BoldMT" w:hAnsi="Arial-BoldMT" w:cs="Arial-BoldMT"/>
          <w:b/>
          <w:bCs/>
          <w:color w:val="FF0000"/>
          <w:sz w:val="32"/>
          <w:szCs w:val="32"/>
        </w:rPr>
      </w:pPr>
      <w:r>
        <w:rPr>
          <w:rFonts w:cs="Arial-BoldMT" w:ascii="Arial-BoldMT" w:hAnsi="Arial-BoldMT"/>
          <w:b/>
          <w:bCs/>
          <w:color w:val="FF0000"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FF0000"/>
          <w:sz w:val="24"/>
          <w:szCs w:val="24"/>
        </w:rPr>
      </w:pPr>
      <w:r>
        <w:rPr>
          <w:rFonts w:cs="Arial-BoldMT" w:ascii="Arial-BoldMT" w:hAnsi="Arial-BoldMT"/>
          <w:b/>
          <w:bCs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FF0000"/>
          <w:sz w:val="24"/>
          <w:szCs w:val="24"/>
        </w:rPr>
      </w:pPr>
      <w:r>
        <w:rPr>
          <w:rFonts w:cs="Arial-BoldMT" w:ascii="Arial-BoldMT" w:hAnsi="Arial-BoldMT"/>
          <w:b/>
          <w:bCs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FF0000"/>
          <w:sz w:val="24"/>
          <w:szCs w:val="24"/>
        </w:rPr>
      </w:pPr>
      <w:r>
        <w:rPr>
          <w:rFonts w:cs="Arial-BoldMT" w:ascii="Arial-BoldMT" w:hAnsi="Arial-BoldMT"/>
          <w:b/>
          <w:bCs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FF0000"/>
          <w:sz w:val="24"/>
          <w:szCs w:val="24"/>
        </w:rPr>
      </w:pPr>
      <w:r>
        <w:rPr>
          <w:rFonts w:cs="Arial-BoldMT" w:ascii="Arial-BoldMT" w:hAnsi="Arial-BoldMT"/>
          <w:b/>
          <w:bCs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FF0000"/>
          <w:sz w:val="24"/>
          <w:szCs w:val="24"/>
        </w:rPr>
      </w:pPr>
      <w:r>
        <w:rPr>
          <w:rFonts w:cs="Arial-BoldMT" w:ascii="Arial-BoldMT" w:hAnsi="Arial-BoldMT"/>
          <w:b/>
          <w:bCs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FF0000"/>
          <w:sz w:val="24"/>
          <w:szCs w:val="24"/>
        </w:rPr>
      </w:pPr>
      <w:r>
        <w:rPr>
          <w:rFonts w:cs="Arial-BoldMT" w:ascii="Arial-BoldMT" w:hAnsi="Arial-BoldMT"/>
          <w:b/>
          <w:bCs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FF0000"/>
          <w:sz w:val="24"/>
          <w:szCs w:val="24"/>
        </w:rPr>
      </w:pPr>
      <w:r>
        <w:rPr>
          <w:rFonts w:cs="Arial-BoldMT" w:ascii="Arial-BoldMT" w:hAnsi="Arial-BoldMT"/>
          <w:b/>
          <w:bCs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FF0000"/>
          <w:sz w:val="24"/>
          <w:szCs w:val="24"/>
        </w:rPr>
      </w:pPr>
      <w:r>
        <w:rPr>
          <w:rFonts w:cs="Arial-BoldMT" w:ascii="Arial-BoldMT" w:hAnsi="Arial-BoldMT"/>
          <w:b/>
          <w:bCs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FF0000"/>
          <w:sz w:val="24"/>
          <w:szCs w:val="24"/>
        </w:rPr>
      </w:pPr>
      <w:r>
        <w:rPr>
          <w:rFonts w:cs="Arial-BoldMT" w:ascii="Arial-BoldMT" w:hAnsi="Arial-BoldMT"/>
          <w:b/>
          <w:bCs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FF0000"/>
          <w:sz w:val="24"/>
          <w:szCs w:val="24"/>
        </w:rPr>
      </w:pPr>
      <w:r>
        <w:rPr>
          <w:rFonts w:cs="Arial-BoldMT" w:ascii="Arial-BoldMT" w:hAnsi="Arial-BoldMT"/>
          <w:b/>
          <w:bCs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cs="Arial-BoldMT" w:ascii="Arial-BoldMT" w:hAnsi="Arial-BoldMT"/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cs="Arial-BoldMT" w:ascii="Arial-BoldMT" w:hAnsi="Arial-BoldMT"/>
          <w:b/>
          <w:bCs/>
          <w:sz w:val="24"/>
          <w:szCs w:val="24"/>
        </w:rPr>
        <w:t>Lidzbark Warmiński 202</w:t>
      </w:r>
      <w:r>
        <w:rPr>
          <w:rFonts w:cs="Arial-BoldMT" w:ascii="Arial-BoldMT" w:hAnsi="Arial-BoldMT"/>
          <w:b/>
          <w:bCs/>
          <w:sz w:val="24"/>
          <w:szCs w:val="24"/>
        </w:rPr>
        <w:t>5</w:t>
      </w:r>
    </w:p>
    <w:p>
      <w:pPr>
        <w:pStyle w:val="Normal"/>
        <w:spacing w:lineRule="auto" w:line="360" w:before="0" w:after="0"/>
        <w:rPr>
          <w:color w:val="auto"/>
        </w:rPr>
      </w:pP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1. Podstawa prawna</w:t>
      </w:r>
    </w:p>
    <w:p>
      <w:pPr>
        <w:pStyle w:val="Normal"/>
        <w:spacing w:lineRule="auto" w:line="360" w:before="0" w:after="0"/>
        <w:jc w:val="both"/>
        <w:rPr>
          <w:color w:val="auto"/>
        </w:rPr>
      </w:pPr>
      <w:r>
        <w:rPr>
          <w:rFonts w:cs="Arial" w:ascii="Arial" w:hAnsi="Arial"/>
          <w:bCs/>
          <w:color w:val="auto"/>
          <w:sz w:val="24"/>
          <w:szCs w:val="24"/>
        </w:rPr>
        <w:t>Plan działania opracowano na podstawie art. 14 pkt 5 w związku z art. 6 Ustawy z dnia 19 lipca 2019 r. o zapewnianiu dostępności osobom ze szczególnymi potrzebami (Dz. U. 202</w:t>
      </w:r>
      <w:r>
        <w:rPr>
          <w:rFonts w:cs="Arial" w:ascii="Arial" w:hAnsi="Arial"/>
          <w:bCs/>
          <w:color w:val="auto"/>
          <w:sz w:val="24"/>
          <w:szCs w:val="24"/>
        </w:rPr>
        <w:t>4</w:t>
      </w:r>
      <w:r>
        <w:rPr>
          <w:rFonts w:cs="Arial" w:ascii="Arial" w:hAnsi="Arial"/>
          <w:bCs/>
          <w:color w:val="auto"/>
          <w:sz w:val="24"/>
          <w:szCs w:val="24"/>
        </w:rPr>
        <w:t xml:space="preserve"> r. poz. 1</w:t>
      </w:r>
      <w:r>
        <w:rPr>
          <w:rFonts w:cs="Arial" w:ascii="Arial" w:hAnsi="Arial"/>
          <w:bCs/>
          <w:color w:val="auto"/>
          <w:sz w:val="24"/>
          <w:szCs w:val="24"/>
        </w:rPr>
        <w:t>411</w:t>
      </w:r>
      <w:r>
        <w:rPr>
          <w:rFonts w:cs="Arial" w:ascii="Arial" w:hAnsi="Arial"/>
          <w:bCs/>
          <w:color w:val="auto"/>
          <w:sz w:val="24"/>
          <w:szCs w:val="24"/>
        </w:rPr>
        <w:t xml:space="preserve">), </w:t>
      </w:r>
      <w:r>
        <w:rPr>
          <w:rFonts w:cs="Arial" w:ascii="Arial" w:hAnsi="Arial"/>
          <w:color w:val="auto"/>
          <w:sz w:val="24"/>
          <w:szCs w:val="24"/>
        </w:rPr>
        <w:t>zwanej dalej „Ustawą”.</w:t>
      </w:r>
    </w:p>
    <w:p>
      <w:pPr>
        <w:pStyle w:val="Normal"/>
        <w:spacing w:lineRule="auto" w:line="360" w:before="0" w:after="0"/>
        <w:jc w:val="both"/>
        <w:rPr>
          <w:color w:val="auto"/>
        </w:rPr>
      </w:pPr>
      <w:r>
        <w:rPr>
          <w:rFonts w:cs="Arial" w:ascii="Arial" w:hAnsi="Arial"/>
          <w:color w:val="auto"/>
          <w:sz w:val="24"/>
          <w:szCs w:val="24"/>
        </w:rPr>
        <w:t>Plan działania ma służyć poprawie warunków życia i funkcjonowania obywateli, zwłaszcza tych ze szczególnymi potrzebami wynikającymi z niepełnosprawności, podeszłego wieku czy choroby. Osoby te mogą mieć utrudniony dostęp do korzystania z usług podmiotu publicznego z powodu barier architektonicznych, cyfrowych czy informacyjno-komunikacyjnych. Kluczowym jest zmiana podejścia do obsługi pacjenta i klienta ze szczególnymi potrzebami i podejmowanie działań, przez podmioty publiczne, na rzecz eliminacji występujących barier. Służyć ma temu realizacja zapisów Ustawy.</w:t>
      </w:r>
    </w:p>
    <w:p>
      <w:pPr>
        <w:pStyle w:val="Normal"/>
        <w:spacing w:lineRule="auto" w:line="360" w:before="0" w:after="0"/>
        <w:jc w:val="both"/>
        <w:rPr>
          <w:color w:val="auto"/>
        </w:rPr>
      </w:pPr>
      <w:r>
        <w:rPr>
          <w:rFonts w:cs="Arial" w:ascii="Arial" w:hAnsi="Arial"/>
          <w:color w:val="auto"/>
          <w:sz w:val="24"/>
          <w:szCs w:val="24"/>
        </w:rPr>
        <w:t>Ustawa jest strategicznym elementem rządowego programu Dostępność Plus. Program ten został przyjęty uchwałą nr 102/2018 Rady Ministrów z dnia 17 lipca 2018 r. Celem programu jest budowanie systemu na rzecz rozwoju dostępności w Polsce. W dużej mierze koncentruje się na kształtowaniu warunków do zmian w przestrzeni publicznej, architektury, transportu i oferowanych na rynku produktów tak, by dostosować je do potrzeb wszystkich obywateli, zwłaszcza osób o szczególnych potrzebach związanych z niepełnosprawnością czy seniorów. Rozwiązania zapisane w Ustawie wypełniają zapisy Konwencji o prawach osób niepełnosprawnych, sporządzonej w Nowym Jorku dnia 13 grudnia 2006 r. (Dz. U. z 2012 r. poz. 1169, z późn. zm.). Tym samym zobowiązują do zapewnienia osobom ze szczególnymi potrzebami dostępu do obiektów/budynków na równi z innymi obywatelami. Zapisy Ustawy wychodzą jednak znacznie szerzej, zobowiązując podmioty publiczne do zapewnienia dostępności również w zakresie cyfrowym czy informacyjno-komunikacyjnym. Na podstawie Ustawy każdy organ władzy publicznej określony w art. 14 ust.1 ma obowiązek wyznaczenia koordynatora do spraw dostępności. Jednym z zadań koordynatora jest przygotowanie i koordynacja wdrożenia planu działania na rzecz poprawy zapewniania dostępności osobom ze szczególnymi potrzebami. Celem planu jest wskazanie kierunków niezbędnych zmian i wdrażanie rozwiązań służących usprawnieniu funkcjonowania podmiotu publicznego, uczynienia go bardziej dostępnym oraz przyjaznym osobom ze szczególnymi potrzebami.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tbl>
      <w:tblPr>
        <w:tblStyle w:val="Tabela-Siatka"/>
        <w:tblW w:w="138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8"/>
        <w:gridCol w:w="2694"/>
        <w:gridCol w:w="5386"/>
        <w:gridCol w:w="1559"/>
      </w:tblGrid>
      <w:tr>
        <w:trPr/>
        <w:tc>
          <w:tcPr>
            <w:tcW w:w="42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color w:val="auto"/>
                <w:kern w:val="0"/>
                <w:sz w:val="24"/>
                <w:szCs w:val="24"/>
                <w:lang w:val="pl-PL" w:eastAsia="en-US" w:bidi="ar-SA"/>
              </w:rPr>
              <w:t>Zakres działalności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color w:val="auto"/>
                <w:kern w:val="0"/>
                <w:sz w:val="24"/>
                <w:szCs w:val="24"/>
                <w:lang w:val="pl-PL" w:eastAsia="en-US" w:bidi="ar-SA"/>
              </w:rPr>
              <w:t>Realizujący zadania wynikające z art. 6 ustawy</w:t>
            </w:r>
          </w:p>
        </w:tc>
        <w:tc>
          <w:tcPr>
            <w:tcW w:w="53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color w:val="auto"/>
                <w:kern w:val="0"/>
                <w:sz w:val="24"/>
                <w:szCs w:val="24"/>
                <w:lang w:val="pl-PL" w:eastAsia="en-US" w:bidi="ar-SA"/>
              </w:rPr>
              <w:t>Sposób realizacji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color w:val="auto"/>
                <w:kern w:val="0"/>
                <w:sz w:val="24"/>
                <w:szCs w:val="24"/>
                <w:lang w:val="pl-PL" w:eastAsia="en-US" w:bidi="ar-SA"/>
              </w:rPr>
              <w:t>Uwagi</w:t>
            </w:r>
          </w:p>
        </w:tc>
      </w:tr>
      <w:tr>
        <w:trPr/>
        <w:tc>
          <w:tcPr>
            <w:tcW w:w="42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b/>
                <w:color w:val="auto"/>
                <w:kern w:val="0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b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b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b/>
                <w:color w:val="auto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</w:tr>
      <w:tr>
        <w:trPr/>
        <w:tc>
          <w:tcPr>
            <w:tcW w:w="42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Przekazanie do publicznej wiadomości danych koordynatora i zespołu ds. dostępności.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Koordynator ds. dostępności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Informatyk odpowiedzialny za prowadzenie BIP</w:t>
            </w:r>
          </w:p>
        </w:tc>
        <w:tc>
          <w:tcPr>
            <w:tcW w:w="53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Zamieszczenie informacji na stronie Biuletynu Informacji Publicznej o wyznaczeniu koordynatora i zespołu ds. dostępności wraz z danymi kontaktowymi.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MT" w:hAnsi="ArialMT" w:eastAsia="Calibri" w:cs="ArialMT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2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Przeprowadzenie analizy stanu obiektów ZOZLW pod względem  spełnienia minimalnych wymagań służących zapewnieniu dostępności osobom ze szczególnymi  potrzebami ze względu na ograniczenia techniczne i prawne.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Koordynator i zespół ds. dostępności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Informatyk</w:t>
            </w:r>
          </w:p>
        </w:tc>
        <w:tc>
          <w:tcPr>
            <w:tcW w:w="53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Przekazanie uzyskanych informacji Pani Dyrektor Szpital w formie raportu z audytu dostępności zawierającego propozycje działań mających na celu zapewnienie dostępności architektonicznej.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Uruchomienie specjalistycznych badań i testów dostępności cyfrowej strony internetowej wraz z dostosowaniem do obowiązujących przepisów.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MT" w:hAnsi="ArialMT" w:eastAsia="Calibri" w:cs="ArialMT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2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Dokonanie analizy w zakresie dostępności alternatywnej w przypadku braku możliwości zapewnienia dostępności dla osób ze szczególnymi potrzebami ze względu na ograniczenia techniczne i prawne.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Koordynator i zespół ds. dostępności</w:t>
            </w:r>
          </w:p>
        </w:tc>
        <w:tc>
          <w:tcPr>
            <w:tcW w:w="53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Podanie do publicznej wiadomości na stronie internetowej BIP ZOZLW informacji wynikającej z zapisów art. 7 ustawy ze wskazaniem dostępu alternatywnego np.: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zapewnienie wsparcia wyznaczonej osoby,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zapewnienie wsparcia technicznego np. windy, wózka.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MT" w:hAnsi="ArialMT" w:eastAsia="Calibri" w:cs="ArialMT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2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Dokonanie samooceny pod kątem dostosowania  administrowanych obiektów do minimalnych wymagań dotyczących dostępności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Koordynator i zespół ds. dostępności</w:t>
            </w:r>
          </w:p>
        </w:tc>
        <w:tc>
          <w:tcPr>
            <w:tcW w:w="53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Sporządzenie deklaracji dostępności ze wskazaniem na wymagania w wymiarze architektonicznym, cyfrowym i komunikacyjnym wynikające z zapisów art. 6 ustawy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MT" w:hAnsi="ArialMT" w:eastAsia="Calibri" w:cs="ArialMT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2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Monitorowanie działalności Zespołu Opieki Zdrowotnej w Lidzbarku Warmińskim , o której mowa w art. 14 ust. 1 ustawy w zakresie dostępności osobom ze szczególnymi potrzebami, oraz udostępnienie adresów stron internetowych do instytucji  realizujących pośrednio zadania wynikające z ustawy.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Koordynator i zespół ds. dostępności</w:t>
            </w:r>
          </w:p>
        </w:tc>
        <w:tc>
          <w:tcPr>
            <w:tcW w:w="53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Współpraca z pracownikami ZOZLW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MT" w:hAnsi="ArialMT" w:eastAsia="Calibri" w:cs="ArialMT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2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Wspieranie osób ze szczególnymi potrzebami do dostępności w zakresie: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Architektonicznym,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Cyfrowym,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Informacyjno-komunikacyjnej.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Koordynator i zespół ds. dostępności</w:t>
            </w:r>
          </w:p>
        </w:tc>
        <w:tc>
          <w:tcPr>
            <w:tcW w:w="53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Podanie do publicznej wiadomości na stronie internetowej BIP ZOZLW informacji adresowych i kontaktowych podmiotów wspierających osoby ze szczególnymi potrzebami, wynikającymi z zapisów art. 6 ustawy, np.: zapewnienie informacji w zakresie rozkładu pomieszczeń w budynku, wykorzystanie zdalnego dostępu online do usługi tłumacza języka  migowego, czy dostosowanie strony internetowej.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MT" w:hAnsi="ArialMT" w:eastAsia="Calibri" w:cs="ArialMT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2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Uzyskanie danych zbiorczych do raportu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Koordynator i zespół ds. dostępności</w:t>
            </w:r>
          </w:p>
        </w:tc>
        <w:tc>
          <w:tcPr>
            <w:tcW w:w="53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Uzyskanie danych w zakresie realizacji uwag odnoszących się do stwierdzonych istniejących przeszkód w dostępności osobom ze szczególnymi potrzebami i zaleceń dotyczących usunięcia tych wad.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MT" w:hAnsi="ArialMT" w:eastAsia="Calibri" w:cs="ArialMT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2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Sporządzenie raportu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Koordynator</w:t>
            </w:r>
          </w:p>
        </w:tc>
        <w:tc>
          <w:tcPr>
            <w:tcW w:w="53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2"/>
                <w:szCs w:val="22"/>
                <w:lang w:val="pl-PL" w:eastAsia="en-US" w:bidi="ar-SA"/>
              </w:rPr>
              <w:t>Przekazanie sporządzonego raportu do zatwierdzenia Pani Dyrektor ZOZLW o następnie podanie jego treści do publicznej wiadomości na stronie BIP ZOZLW.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MT" w:hAnsi="ArialMT" w:eastAsia="Calibri" w:cs="ArialMT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MT" w:ascii="ArialMT" w:hAnsi="ArialMT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color w:val="C9211E"/>
          <w:sz w:val="24"/>
          <w:szCs w:val="24"/>
          <w:u w:val="single"/>
        </w:rPr>
      </w:pPr>
      <w:r>
        <w:rPr>
          <w:rFonts w:cs="Arial" w:ascii="Arial" w:hAnsi="Arial"/>
          <w:color w:val="C9211E"/>
          <w:sz w:val="24"/>
          <w:szCs w:val="24"/>
          <w:u w:val="single"/>
        </w:rPr>
      </w:r>
    </w:p>
    <w:p>
      <w:pPr>
        <w:pStyle w:val="Normal"/>
        <w:spacing w:before="0" w:after="0"/>
        <w:rPr>
          <w:color w:val="auto"/>
        </w:rPr>
      </w:pPr>
      <w:r>
        <w:rPr>
          <w:rFonts w:cs="Arial" w:ascii="Arial" w:hAnsi="Arial"/>
          <w:color w:val="auto"/>
          <w:sz w:val="24"/>
          <w:szCs w:val="24"/>
          <w:u w:val="single"/>
        </w:rPr>
        <w:t>Koordynator ds. dostępności:</w:t>
      </w:r>
    </w:p>
    <w:p>
      <w:pPr>
        <w:pStyle w:val="Normal"/>
        <w:spacing w:before="0" w:after="0"/>
        <w:rPr>
          <w:color w:val="auto"/>
        </w:rPr>
      </w:pPr>
      <w:r>
        <w:rPr>
          <w:rFonts w:cs="Arial" w:ascii="Arial" w:hAnsi="Arial"/>
          <w:color w:val="auto"/>
          <w:sz w:val="24"/>
          <w:szCs w:val="24"/>
        </w:rPr>
        <w:t>Sobkowski Zbigniew  ……………………………………………….</w:t>
      </w:r>
    </w:p>
    <w:p>
      <w:pPr>
        <w:pStyle w:val="Normal"/>
        <w:spacing w:before="0" w:after="0"/>
        <w:rPr>
          <w:color w:val="auto"/>
        </w:rPr>
      </w:pPr>
      <w:r>
        <w:rPr>
          <w:rFonts w:cs="Arial" w:ascii="Arial" w:hAnsi="Arial"/>
          <w:color w:val="auto"/>
          <w:sz w:val="24"/>
          <w:szCs w:val="24"/>
          <w:u w:val="single"/>
        </w:rPr>
        <w:t>Zespół ds. dostępności:</w:t>
      </w:r>
    </w:p>
    <w:p>
      <w:pPr>
        <w:pStyle w:val="Normal"/>
        <w:tabs>
          <w:tab w:val="clear" w:pos="708"/>
          <w:tab w:val="left" w:pos="6521" w:leader="none"/>
          <w:tab w:val="left" w:pos="6804" w:leader="none"/>
        </w:tabs>
        <w:spacing w:lineRule="auto" w:line="240" w:before="0" w:after="0"/>
        <w:rPr>
          <w:color w:val="auto"/>
        </w:rPr>
      </w:pPr>
      <w:r>
        <w:rPr>
          <w:rFonts w:cs="Arial" w:ascii="Arial" w:hAnsi="Arial"/>
          <w:color w:val="auto"/>
          <w:sz w:val="24"/>
          <w:szCs w:val="24"/>
        </w:rPr>
        <w:t>Radziwanowska Jolanta</w:t>
      </w:r>
      <w:r>
        <w:rPr>
          <w:rFonts w:cs="Arial" w:ascii="Arial" w:hAnsi="Arial"/>
          <w:color w:val="auto"/>
          <w:sz w:val="24"/>
          <w:szCs w:val="24"/>
        </w:rPr>
        <w:t xml:space="preserve">  ……………………………………………</w:t>
      </w:r>
    </w:p>
    <w:p>
      <w:pPr>
        <w:pStyle w:val="Normal"/>
        <w:tabs>
          <w:tab w:val="clear" w:pos="708"/>
          <w:tab w:val="left" w:pos="6521" w:leader="none"/>
          <w:tab w:val="left" w:pos="6804" w:leader="none"/>
        </w:tabs>
        <w:spacing w:lineRule="auto" w:line="240" w:before="0" w:after="0"/>
        <w:rPr>
          <w:color w:val="auto"/>
        </w:rPr>
      </w:pPr>
      <w:r>
        <w:rPr>
          <w:rFonts w:cs="Arial" w:ascii="Arial" w:hAnsi="Arial"/>
          <w:color w:val="auto"/>
          <w:sz w:val="24"/>
          <w:szCs w:val="24"/>
        </w:rPr>
        <w:t>Lipski</w:t>
      </w:r>
      <w:r>
        <w:rPr>
          <w:rFonts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 xml:space="preserve">Artur   </w:t>
      </w:r>
      <w:r>
        <w:rPr>
          <w:rFonts w:cs="Arial" w:ascii="Arial" w:hAnsi="Arial"/>
          <w:color w:val="FF0000"/>
          <w:sz w:val="24"/>
          <w:szCs w:val="24"/>
        </w:rPr>
        <w:t xml:space="preserve">       </w:t>
      </w:r>
      <w:r>
        <w:rPr>
          <w:rFonts w:cs="Arial" w:ascii="Arial" w:hAnsi="Arial"/>
          <w:color w:val="FF0000"/>
          <w:sz w:val="24"/>
          <w:szCs w:val="24"/>
        </w:rPr>
        <w:t xml:space="preserve"> ……</w:t>
      </w:r>
      <w:r>
        <w:rPr>
          <w:rFonts w:cs="Arial" w:ascii="Arial" w:hAnsi="Arial"/>
          <w:color w:val="auto"/>
          <w:sz w:val="24"/>
          <w:szCs w:val="24"/>
        </w:rPr>
        <w:t>……………………………………….………</w:t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rFonts w:cs="Arial" w:ascii="Arial" w:hAnsi="Arial"/>
          <w:color w:val="auto"/>
          <w:sz w:val="24"/>
          <w:szCs w:val="24"/>
        </w:rPr>
        <w:t>Gulbiński Mariusz  …………………………………………………...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hanging="284" w:left="10065" w:right="679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b/>
          <w:sz w:val="24"/>
          <w:szCs w:val="24"/>
        </w:rPr>
        <w:t>ZATWIERDZAM</w:t>
      </w:r>
    </w:p>
    <w:p>
      <w:pPr>
        <w:pStyle w:val="Normal"/>
        <w:spacing w:lineRule="auto" w:line="240" w:before="0" w:after="0"/>
        <w:ind w:left="9214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9214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Dyrektor Zespołu Opieki Zdrowotnej</w:t>
      </w:r>
    </w:p>
    <w:p>
      <w:pPr>
        <w:pStyle w:val="Normal"/>
        <w:spacing w:lineRule="auto" w:line="240" w:before="0" w:after="0"/>
        <w:ind w:left="9781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w Lidzbarku Warmińskim</w:t>
      </w:r>
    </w:p>
    <w:sectPr>
      <w:footerReference w:type="default" r:id="rId2"/>
      <w:type w:val="nextPage"/>
      <w:pgSz w:orient="landscape" w:w="16838" w:h="11906"/>
      <w:pgMar w:left="1417" w:right="1417" w:gutter="0" w:header="0" w:top="1417" w:footer="708" w:bottom="1417"/>
      <w:pgNumType w:start="0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-BoldMT">
    <w:charset w:val="ee"/>
    <w:family w:val="roman"/>
    <w:pitch w:val="variable"/>
  </w:font>
  <w:font w:name="ArialM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6663675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db738f"/>
    <w:rPr/>
  </w:style>
  <w:style w:type="character" w:styleId="StopkaZnak" w:customStyle="1">
    <w:name w:val="Stopka Znak"/>
    <w:basedOn w:val="DefaultParagraphFont"/>
    <w:uiPriority w:val="99"/>
    <w:qFormat/>
    <w:rsid w:val="00db738f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627eb"/>
    <w:pPr>
      <w:spacing w:before="0" w:after="200"/>
      <w:ind w:left="720"/>
      <w:contextualSpacing/>
    </w:pPr>
    <w:rPr/>
  </w:style>
  <w:style w:type="paragraph" w:styleId="Default" w:customStyle="1">
    <w:name w:val="Default"/>
    <w:qFormat/>
    <w:rsid w:val="00e06e22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b738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b738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243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Application>LibreOffice/7.6.2.1$Windows_X86_64 LibreOffice_project/56f7684011345957bbf33a7ee678afaf4d2ba333</Application>
  <AppVersion>15.0000</AppVersion>
  <Pages>4</Pages>
  <Words>749</Words>
  <Characters>5354</Characters>
  <CharactersWithSpaces>6062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2021-09-16T10:26:00Z</dcterms:created>
  <dc:creator>User_SZP_08</dc:creator>
  <dc:description/>
  <dc:language>pl-PL</dc:language>
  <cp:lastModifiedBy/>
  <dcterms:modified xsi:type="dcterms:W3CDTF">2025-03-25T12:27:56Z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